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0" w:type="auto"/>
        <w:jc w:val="center"/>
        <w:tblLook w:val="04A0" w:firstRow="1" w:lastRow="0" w:firstColumn="1" w:lastColumn="0" w:noHBand="0" w:noVBand="1"/>
      </w:tblPr>
      <w:tblGrid>
        <w:gridCol w:w="6466"/>
        <w:gridCol w:w="531"/>
        <w:gridCol w:w="1508"/>
      </w:tblGrid>
      <w:tr w:rsidR="00E065C4" w:rsidTr="00E065C4">
        <w:trPr>
          <w:trHeight w:val="337"/>
          <w:jc w:val="center"/>
        </w:trPr>
        <w:tc>
          <w:tcPr>
            <w:tcW w:w="6633" w:type="dxa"/>
          </w:tcPr>
          <w:p w:rsidR="00E065C4" w:rsidRDefault="0080421C">
            <w:pPr>
              <w:jc w:val="both"/>
              <w:rPr>
                <w:rFonts w:ascii="Arial" w:hAnsi="Arial"/>
                <w:b/>
                <w:bCs/>
              </w:rPr>
            </w:pPr>
            <w:r>
              <w:rPr>
                <w:b/>
                <w:bCs/>
                <w:rtl/>
              </w:rPr>
              <w:t>בפני</w:t>
            </w:r>
            <w:r>
              <w:rPr>
                <w:b/>
                <w:bCs/>
                <w:sz w:val="26"/>
                <w:szCs w:val="26"/>
                <w:rtl/>
              </w:rPr>
              <w:t xml:space="preserve"> </w:t>
            </w:r>
            <w:r>
              <w:rPr>
                <w:rFonts w:ascii="Arial" w:hAnsi="Arial"/>
                <w:b/>
                <w:bCs/>
                <w:rtl/>
              </w:rPr>
              <w:t>כבוד השופטת שירי היימן,</w:t>
            </w:r>
          </w:p>
          <w:p w:rsidR="00E065C4" w:rsidRDefault="0080421C">
            <w:pPr>
              <w:jc w:val="both"/>
            </w:pPr>
            <w:r>
              <w:rPr>
                <w:rFonts w:ascii="Arial" w:hAnsi="Arial"/>
                <w:b/>
                <w:bCs/>
                <w:rtl/>
              </w:rPr>
              <w:t>סגנית נשיאה לענייני משפחה-מחוז חיפה</w:t>
            </w:r>
          </w:p>
          <w:p w:rsidR="00E065C4" w:rsidRDefault="00565A5A">
            <w:pPr>
              <w:rPr>
                <w:b/>
                <w:bCs/>
                <w:sz w:val="26"/>
                <w:szCs w:val="26"/>
              </w:rPr>
            </w:pPr>
          </w:p>
        </w:tc>
        <w:tc>
          <w:tcPr>
            <w:tcW w:w="540" w:type="dxa"/>
          </w:tcPr>
          <w:p w:rsidR="00E065C4" w:rsidRDefault="00565A5A">
            <w:pPr>
              <w:pStyle w:val="a3"/>
              <w:jc w:val="center"/>
              <w:rPr>
                <w:b/>
                <w:bCs/>
                <w:sz w:val="26"/>
                <w:szCs w:val="26"/>
                <w:rtl/>
              </w:rPr>
            </w:pPr>
          </w:p>
        </w:tc>
        <w:tc>
          <w:tcPr>
            <w:tcW w:w="1547" w:type="dxa"/>
          </w:tcPr>
          <w:p w:rsidR="00E065C4" w:rsidRDefault="00565A5A">
            <w:pPr>
              <w:pStyle w:val="a3"/>
              <w:tabs>
                <w:tab w:val="clear" w:pos="4153"/>
              </w:tabs>
              <w:rPr>
                <w:b/>
                <w:bCs/>
                <w:sz w:val="26"/>
                <w:szCs w:val="26"/>
                <w:rtl/>
              </w:rPr>
            </w:pPr>
          </w:p>
        </w:tc>
      </w:tr>
    </w:tbl>
    <w:tbl>
      <w:tblPr>
        <w:tblStyle w:val="aa"/>
        <w:bidiVisual/>
        <w:tblW w:w="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E065C4" w:rsidTr="00E065C4">
        <w:tc>
          <w:tcPr>
            <w:tcW w:w="3246" w:type="dxa"/>
          </w:tcPr>
          <w:p w:rsidR="00E065C4" w:rsidRDefault="00565A5A">
            <w:pPr>
              <w:ind w:left="26"/>
              <w:rPr>
                <w:b/>
                <w:bCs/>
                <w:sz w:val="26"/>
                <w:szCs w:val="26"/>
                <w:rtl/>
              </w:rPr>
            </w:pPr>
          </w:p>
          <w:sdt>
            <w:sdtPr>
              <w:rPr>
                <w:b/>
                <w:bCs/>
                <w:rtl/>
              </w:rPr>
              <w:alias w:val="1264"/>
              <w:tag w:val="1264"/>
              <w:id w:val="-143360444"/>
              <w:placeholder>
                <w:docPart w:val="6DB0FEA5F6A64E32AB1510526386A99A"/>
              </w:placeholder>
              <w:text w:multiLine="1"/>
            </w:sdtPr>
            <w:sdtEndPr/>
            <w:sdtContent>
              <w:p w:rsidR="00E065C4" w:rsidRDefault="0080421C">
                <w:pPr>
                  <w:ind w:left="26"/>
                  <w:rPr>
                    <w:sz w:val="26"/>
                    <w:szCs w:val="26"/>
                    <w:rtl/>
                  </w:rPr>
                </w:pPr>
                <w:r>
                  <w:rPr>
                    <w:b/>
                    <w:bCs/>
                    <w:rtl/>
                  </w:rPr>
                  <w:t>תובעות (מבקשות את קיום הצוואה משנת 2003 , מתנגדות לקיום הצוואה משנת 2018 והתובעות בתמ"ש 48903-09-22)</w:t>
                </w:r>
              </w:p>
            </w:sdtContent>
          </w:sdt>
        </w:tc>
        <w:tc>
          <w:tcPr>
            <w:tcW w:w="5734" w:type="dxa"/>
          </w:tcPr>
          <w:p w:rsidR="00E065C4" w:rsidRDefault="00565A5A">
            <w:pPr>
              <w:rPr>
                <w:b/>
                <w:bCs/>
                <w:sz w:val="26"/>
                <w:szCs w:val="26"/>
                <w:rtl/>
              </w:rPr>
            </w:pPr>
          </w:p>
          <w:p w:rsidR="00E065C4" w:rsidRDefault="0080421C" w:rsidP="0042793A">
            <w:pPr>
              <w:rPr>
                <w:b/>
                <w:bCs/>
                <w:sz w:val="26"/>
                <w:szCs w:val="26"/>
                <w:rtl/>
              </w:rPr>
            </w:pPr>
            <w:r>
              <w:rPr>
                <w:b/>
                <w:bCs/>
                <w:sz w:val="26"/>
                <w:szCs w:val="26"/>
                <w:rtl/>
              </w:rPr>
              <w:t xml:space="preserve">  </w:t>
            </w:r>
            <w:sdt>
              <w:sdtPr>
                <w:rPr>
                  <w:b/>
                  <w:bCs/>
                  <w:sz w:val="26"/>
                  <w:szCs w:val="26"/>
                  <w:rtl/>
                </w:rPr>
                <w:alias w:val="828"/>
                <w:tag w:val="828"/>
                <w:id w:val="1526603318"/>
                <w:placeholder>
                  <w:docPart w:val="BB70986D8BB243E9BA4660D4A6EFD025"/>
                </w:placeholder>
                <w:text w:multiLine="1"/>
              </w:sdtPr>
              <w:sdtEndPr/>
              <w:sdtContent>
                <w:r>
                  <w:rPr>
                    <w:b/>
                    <w:bCs/>
                    <w:sz w:val="26"/>
                    <w:szCs w:val="26"/>
                  </w:rPr>
                  <w:t>.1</w:t>
                </w:r>
              </w:sdtContent>
            </w:sdt>
            <w:r>
              <w:rPr>
                <w:b/>
                <w:bCs/>
                <w:sz w:val="26"/>
                <w:szCs w:val="26"/>
                <w:rtl/>
              </w:rPr>
              <w:t xml:space="preserve"> </w:t>
            </w:r>
            <w:sdt>
              <w:sdtPr>
                <w:rPr>
                  <w:b/>
                  <w:bCs/>
                  <w:sz w:val="26"/>
                  <w:szCs w:val="26"/>
                  <w:rtl/>
                </w:rPr>
                <w:alias w:val="825"/>
                <w:tag w:val="825"/>
                <w:id w:val="-1404140937"/>
                <w:placeholder>
                  <w:docPart w:val="C0F9B131B0574A24A703115F4D84A742"/>
                </w:placeholder>
                <w:text w:multiLine="1"/>
              </w:sdtPr>
              <w:sdtEndPr/>
              <w:sdtContent>
                <w:r w:rsidR="0042793A">
                  <w:rPr>
                    <w:rFonts w:hint="cs"/>
                    <w:b/>
                    <w:bCs/>
                    <w:sz w:val="26"/>
                    <w:szCs w:val="26"/>
                    <w:rtl/>
                  </w:rPr>
                  <w:t xml:space="preserve">ל.מ </w:t>
                </w:r>
              </w:sdtContent>
            </w:sdt>
            <w:r>
              <w:rPr>
                <w:b/>
                <w:bCs/>
                <w:sz w:val="26"/>
                <w:szCs w:val="26"/>
                <w:rtl/>
              </w:rPr>
              <w:t xml:space="preserve"> </w:t>
            </w:r>
          </w:p>
          <w:p w:rsidR="00E065C4" w:rsidRDefault="0080421C" w:rsidP="0042793A">
            <w:pPr>
              <w:rPr>
                <w:b/>
                <w:bCs/>
                <w:sz w:val="26"/>
                <w:szCs w:val="26"/>
                <w:rtl/>
              </w:rPr>
            </w:pPr>
            <w:r>
              <w:rPr>
                <w:b/>
                <w:bCs/>
                <w:sz w:val="26"/>
                <w:szCs w:val="26"/>
                <w:rtl/>
              </w:rPr>
              <w:t xml:space="preserve">  </w:t>
            </w:r>
            <w:sdt>
              <w:sdtPr>
                <w:rPr>
                  <w:b/>
                  <w:bCs/>
                  <w:sz w:val="26"/>
                  <w:szCs w:val="26"/>
                  <w:rtl/>
                </w:rPr>
                <w:alias w:val="828"/>
                <w:tag w:val="828"/>
                <w:id w:val="911968181"/>
                <w:placeholder>
                  <w:docPart w:val="BB70986D8BB243E9BA4660D4A6EFD025"/>
                </w:placeholder>
                <w:text w:multiLine="1"/>
              </w:sdtPr>
              <w:sdtEndPr/>
              <w:sdtContent>
                <w:r>
                  <w:rPr>
                    <w:b/>
                    <w:bCs/>
                    <w:sz w:val="26"/>
                    <w:szCs w:val="26"/>
                  </w:rPr>
                  <w:t>.2</w:t>
                </w:r>
              </w:sdtContent>
            </w:sdt>
            <w:r>
              <w:rPr>
                <w:b/>
                <w:bCs/>
                <w:sz w:val="26"/>
                <w:szCs w:val="26"/>
                <w:rtl/>
              </w:rPr>
              <w:t xml:space="preserve"> </w:t>
            </w:r>
            <w:sdt>
              <w:sdtPr>
                <w:rPr>
                  <w:b/>
                  <w:bCs/>
                  <w:sz w:val="26"/>
                  <w:szCs w:val="26"/>
                  <w:rtl/>
                </w:rPr>
                <w:alias w:val="825"/>
                <w:tag w:val="825"/>
                <w:id w:val="501559990"/>
                <w:placeholder>
                  <w:docPart w:val="C0F9B131B0574A24A703115F4D84A742"/>
                </w:placeholder>
                <w:text w:multiLine="1"/>
              </w:sdtPr>
              <w:sdtEndPr/>
              <w:sdtContent>
                <w:r w:rsidR="0042793A">
                  <w:rPr>
                    <w:rFonts w:hint="cs"/>
                    <w:b/>
                    <w:bCs/>
                    <w:sz w:val="26"/>
                    <w:szCs w:val="26"/>
                    <w:rtl/>
                  </w:rPr>
                  <w:t xml:space="preserve">צ.ג. </w:t>
                </w:r>
              </w:sdtContent>
            </w:sdt>
            <w:r>
              <w:rPr>
                <w:b/>
                <w:bCs/>
                <w:sz w:val="26"/>
                <w:szCs w:val="26"/>
                <w:rtl/>
              </w:rPr>
              <w:t xml:space="preserve">   </w:t>
            </w:r>
          </w:p>
          <w:p w:rsidR="008B4DFE" w:rsidRPr="0042793A" w:rsidRDefault="008B4DFE">
            <w:pPr>
              <w:rPr>
                <w:b/>
                <w:bCs/>
                <w:sz w:val="26"/>
                <w:szCs w:val="26"/>
                <w:rtl/>
              </w:rPr>
            </w:pPr>
            <w:r>
              <w:rPr>
                <w:rFonts w:hint="cs"/>
                <w:b/>
                <w:bCs/>
                <w:sz w:val="26"/>
                <w:szCs w:val="26"/>
                <w:rtl/>
              </w:rPr>
              <w:t xml:space="preserve">  </w:t>
            </w:r>
            <w:r w:rsidRPr="0042793A">
              <w:rPr>
                <w:rFonts w:hint="cs"/>
                <w:b/>
                <w:bCs/>
                <w:sz w:val="26"/>
                <w:szCs w:val="26"/>
                <w:rtl/>
              </w:rPr>
              <w:t>ע"י ב"כ עו"ד ענבל צבר</w:t>
            </w:r>
          </w:p>
        </w:tc>
      </w:tr>
      <w:tr w:rsidR="00E065C4" w:rsidTr="00E065C4">
        <w:tc>
          <w:tcPr>
            <w:tcW w:w="8980" w:type="dxa"/>
            <w:gridSpan w:val="2"/>
          </w:tcPr>
          <w:p w:rsidR="00E065C4" w:rsidRDefault="00565A5A">
            <w:pPr>
              <w:rPr>
                <w:rFonts w:ascii="Arial" w:hAnsi="Arial"/>
                <w:b/>
                <w:bCs/>
                <w:sz w:val="26"/>
                <w:szCs w:val="26"/>
                <w:rtl/>
              </w:rPr>
            </w:pPr>
          </w:p>
          <w:p w:rsidR="00E065C4" w:rsidRDefault="0080421C">
            <w:pPr>
              <w:jc w:val="center"/>
              <w:rPr>
                <w:rFonts w:ascii="Arial" w:hAnsi="Arial"/>
                <w:b/>
                <w:bCs/>
                <w:sz w:val="26"/>
                <w:szCs w:val="26"/>
                <w:rtl/>
              </w:rPr>
            </w:pPr>
            <w:r>
              <w:rPr>
                <w:rFonts w:ascii="Arial" w:hAnsi="Arial"/>
                <w:b/>
                <w:bCs/>
                <w:sz w:val="26"/>
                <w:szCs w:val="26"/>
                <w:rtl/>
              </w:rPr>
              <w:t>נגד</w:t>
            </w:r>
          </w:p>
          <w:p w:rsidR="00E065C4" w:rsidRDefault="00565A5A">
            <w:pPr>
              <w:rPr>
                <w:rFonts w:ascii="Arial" w:hAnsi="Arial"/>
                <w:b/>
                <w:bCs/>
                <w:sz w:val="26"/>
                <w:szCs w:val="26"/>
                <w:rtl/>
              </w:rPr>
            </w:pPr>
          </w:p>
        </w:tc>
      </w:tr>
      <w:tr w:rsidR="00E065C4" w:rsidTr="00E065C4">
        <w:trPr>
          <w:trHeight w:val="740"/>
        </w:trPr>
        <w:sdt>
          <w:sdtPr>
            <w:rPr>
              <w:b/>
              <w:bCs/>
              <w:sz w:val="26"/>
              <w:szCs w:val="26"/>
              <w:rtl/>
            </w:rPr>
            <w:alias w:val="1265"/>
            <w:tag w:val="1265"/>
            <w:id w:val="-44838934"/>
            <w:text/>
          </w:sdtPr>
          <w:sdtEndPr/>
          <w:sdtContent>
            <w:tc>
              <w:tcPr>
                <w:tcW w:w="3246" w:type="dxa"/>
                <w:hideMark/>
              </w:tcPr>
              <w:p w:rsidR="00E065C4" w:rsidRDefault="0080421C">
                <w:pPr>
                  <w:ind w:left="26"/>
                  <w:rPr>
                    <w:b/>
                    <w:bCs/>
                    <w:sz w:val="26"/>
                    <w:szCs w:val="26"/>
                  </w:rPr>
                </w:pPr>
                <w:r>
                  <w:rPr>
                    <w:b/>
                    <w:bCs/>
                    <w:sz w:val="26"/>
                    <w:szCs w:val="26"/>
                    <w:rtl/>
                  </w:rPr>
                  <w:t>נתבע (מתנגד לצוואה משנת 2003. מבקש את קיום הצוואה משנת 2018 והנתבע בתמ"ש 48903-09-22)</w:t>
                </w:r>
              </w:p>
            </w:tc>
          </w:sdtContent>
        </w:sdt>
        <w:tc>
          <w:tcPr>
            <w:tcW w:w="5734" w:type="dxa"/>
          </w:tcPr>
          <w:p w:rsidR="0042793A" w:rsidRDefault="0080421C" w:rsidP="0042793A">
            <w:pPr>
              <w:rPr>
                <w:rtl/>
              </w:rPr>
            </w:pPr>
            <w:r>
              <w:rPr>
                <w:b/>
                <w:bCs/>
                <w:sz w:val="26"/>
                <w:szCs w:val="26"/>
                <w:rtl/>
              </w:rPr>
              <w:t xml:space="preserve"> </w:t>
            </w:r>
            <w:sdt>
              <w:sdtPr>
                <w:rPr>
                  <w:b/>
                  <w:bCs/>
                  <w:sz w:val="26"/>
                  <w:szCs w:val="26"/>
                  <w:rtl/>
                </w:rPr>
                <w:alias w:val="1266"/>
                <w:tag w:val="1266"/>
                <w:id w:val="949736717"/>
                <w:placeholder>
                  <w:docPart w:val="31C22C639E8644028AE0EE7EA106DCCF"/>
                </w:placeholder>
                <w:text w:multiLine="1"/>
              </w:sdtPr>
              <w:sdtEndPr/>
              <w:sdtContent>
                <w:r w:rsidR="0042793A">
                  <w:rPr>
                    <w:rFonts w:hint="cs"/>
                    <w:b/>
                    <w:bCs/>
                    <w:sz w:val="26"/>
                    <w:szCs w:val="26"/>
                    <w:rtl/>
                  </w:rPr>
                  <w:t xml:space="preserve">מ.ב. </w:t>
                </w:r>
              </w:sdtContent>
            </w:sdt>
            <w:r>
              <w:rPr>
                <w:b/>
                <w:bCs/>
                <w:sz w:val="26"/>
                <w:szCs w:val="26"/>
                <w:rtl/>
              </w:rPr>
              <w:t xml:space="preserve"> </w:t>
            </w:r>
          </w:p>
          <w:p w:rsidR="00E065C4" w:rsidRPr="0042793A" w:rsidRDefault="008B4DFE" w:rsidP="0042793A">
            <w:pPr>
              <w:rPr>
                <w:b/>
                <w:bCs/>
                <w:rtl/>
              </w:rPr>
            </w:pPr>
            <w:r>
              <w:rPr>
                <w:rFonts w:hint="cs"/>
                <w:rtl/>
              </w:rPr>
              <w:t xml:space="preserve"> </w:t>
            </w:r>
            <w:r w:rsidRPr="0042793A">
              <w:rPr>
                <w:rFonts w:hint="cs"/>
                <w:b/>
                <w:bCs/>
                <w:rtl/>
              </w:rPr>
              <w:t>ע"י ב"כ עו"ד אברהם תירוש</w:t>
            </w:r>
          </w:p>
        </w:tc>
      </w:tr>
      <w:tr w:rsidR="00E065C4" w:rsidTr="00E065C4">
        <w:tc>
          <w:tcPr>
            <w:tcW w:w="8980" w:type="dxa"/>
            <w:gridSpan w:val="2"/>
          </w:tcPr>
          <w:p w:rsidR="00E065C4" w:rsidRDefault="00565A5A">
            <w:pPr>
              <w:rPr>
                <w:rtl/>
              </w:rPr>
            </w:pPr>
          </w:p>
          <w:p w:rsidR="0042793A" w:rsidRDefault="0042793A" w:rsidP="0042793A">
            <w:pPr>
              <w:rPr>
                <w:b/>
                <w:bCs/>
                <w:rtl/>
              </w:rPr>
            </w:pPr>
          </w:p>
          <w:p w:rsidR="00E065C4" w:rsidRDefault="0080421C" w:rsidP="0042793A">
            <w:pPr>
              <w:rPr>
                <w:rtl/>
              </w:rPr>
            </w:pPr>
            <w:r>
              <w:rPr>
                <w:b/>
                <w:bCs/>
                <w:rtl/>
              </w:rPr>
              <w:t xml:space="preserve">בעניין </w:t>
            </w:r>
            <w:sdt>
              <w:sdtPr>
                <w:rPr>
                  <w:b/>
                  <w:bCs/>
                  <w:rtl/>
                </w:rPr>
                <w:alias w:val="2884"/>
                <w:tag w:val="2884"/>
                <w:id w:val="-1741250611"/>
                <w:placeholder>
                  <w:docPart w:val="798AD560F0434688B2BAF8316CAB7013"/>
                </w:placeholder>
                <w:text w:multiLine="1"/>
              </w:sdtPr>
              <w:sdtEndPr/>
              <w:sdtContent>
                <w:r w:rsidR="001776D9">
                  <w:rPr>
                    <w:rFonts w:hint="cs"/>
                    <w:b/>
                    <w:bCs/>
                    <w:rtl/>
                  </w:rPr>
                  <w:t xml:space="preserve">עזבון המנוחה </w:t>
                </w:r>
                <w:r w:rsidR="0042793A">
                  <w:rPr>
                    <w:rFonts w:hint="cs"/>
                    <w:b/>
                    <w:bCs/>
                    <w:rtl/>
                  </w:rPr>
                  <w:t>מ.ב.</w:t>
                </w:r>
              </w:sdtContent>
            </w:sdt>
            <w:r>
              <w:rPr>
                <w:b/>
                <w:bCs/>
                <w:rtl/>
              </w:rPr>
              <w:t xml:space="preserve">  </w:t>
            </w:r>
          </w:p>
        </w:tc>
      </w:tr>
    </w:tbl>
    <w:p w:rsidR="00E065C4" w:rsidRDefault="0080421C" w:rsidP="00E065C4">
      <w:pPr>
        <w:rPr>
          <w:rtl/>
        </w:rPr>
      </w:pPr>
      <w:r>
        <w:rPr>
          <w:rtl/>
        </w:rPr>
        <w:t xml:space="preserve">   </w:t>
      </w:r>
    </w:p>
    <w:p w:rsidR="001434F7" w:rsidRDefault="00565A5A"/>
    <w:p w:rsidR="006816EC" w:rsidRDefault="006816EC" w:rsidP="003823DA">
      <w:pPr>
        <w:suppressLineNumbers/>
      </w:pP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8B4DFE">
            <w:pPr>
              <w:bidi w:val="0"/>
              <w:jc w:val="center"/>
              <w:rPr>
                <w:rFonts w:ascii="Arial" w:hAnsi="Arial"/>
                <w:b/>
                <w:bCs/>
                <w:noProof w:val="0"/>
                <w:sz w:val="28"/>
                <w:szCs w:val="28"/>
                <w:u w:val="single"/>
              </w:rPr>
            </w:pPr>
            <w:r>
              <w:rPr>
                <w:rFonts w:ascii="Arial" w:hAnsi="Arial"/>
                <w:b/>
                <w:bCs/>
                <w:noProof w:val="0"/>
                <w:sz w:val="28"/>
                <w:szCs w:val="28"/>
                <w:u w:val="single"/>
                <w:rtl/>
              </w:rPr>
              <w:t>פסק די</w:t>
            </w:r>
            <w:r>
              <w:rPr>
                <w:rFonts w:ascii="Arial" w:hAnsi="Arial" w:hint="cs"/>
                <w:b/>
                <w:bCs/>
                <w:noProof w:val="0"/>
                <w:sz w:val="28"/>
                <w:szCs w:val="28"/>
                <w:u w:val="single"/>
                <w:rtl/>
              </w:rPr>
              <w:t>ן חלקי</w:t>
            </w:r>
          </w:p>
        </w:tc>
      </w:tr>
    </w:tbl>
    <w:p w:rsidR="008B4DFE" w:rsidRDefault="008B4DFE" w:rsidP="008B4DFE">
      <w:pPr>
        <w:numPr>
          <w:ilvl w:val="0"/>
          <w:numId w:val="1"/>
        </w:numPr>
        <w:spacing w:before="240" w:after="240" w:line="360" w:lineRule="auto"/>
        <w:jc w:val="both"/>
        <w:rPr>
          <w:rFonts w:ascii="David" w:hAnsi="David"/>
          <w:rtl/>
        </w:rPr>
      </w:pPr>
      <w:r>
        <w:rPr>
          <w:rFonts w:ascii="David" w:hAnsi="David"/>
          <w:rtl/>
        </w:rPr>
        <w:t xml:space="preserve">הצדדים חלוקים בשאלה האם רשאית הייתה המנוחה לערוך את הצוואה שערכה בשנת 2018, לאור נוסח צוואה משותפת שערכו היא ובעלה המנוח בשנת 2003, צוואה שעל פניה מנוסחת כצוואה הדדית, אולם נערכה טרם תיקון 12 לחוק הירושה תשכ"ה – 1965 (להלן: </w:t>
      </w:r>
      <w:r>
        <w:rPr>
          <w:rFonts w:ascii="David" w:hAnsi="David"/>
          <w:b/>
          <w:bCs/>
          <w:rtl/>
        </w:rPr>
        <w:t>"חוק הירושה"</w:t>
      </w:r>
      <w:r>
        <w:rPr>
          <w:rFonts w:ascii="David" w:hAnsi="David"/>
          <w:rtl/>
        </w:rPr>
        <w:t>).</w:t>
      </w:r>
    </w:p>
    <w:p w:rsidR="008B4DFE" w:rsidRDefault="008B4DFE" w:rsidP="0042793A">
      <w:pPr>
        <w:numPr>
          <w:ilvl w:val="0"/>
          <w:numId w:val="1"/>
        </w:numPr>
        <w:spacing w:before="240" w:after="240" w:line="360" w:lineRule="auto"/>
        <w:jc w:val="both"/>
        <w:rPr>
          <w:rFonts w:ascii="David" w:hAnsi="David"/>
          <w:rtl/>
        </w:rPr>
      </w:pPr>
      <w:r>
        <w:rPr>
          <w:rFonts w:ascii="David" w:hAnsi="David"/>
          <w:rtl/>
        </w:rPr>
        <w:t xml:space="preserve">הצדדים הם אחים וילדי המנוח </w:t>
      </w:r>
      <w:r w:rsidR="0042793A">
        <w:rPr>
          <w:rFonts w:ascii="David" w:hAnsi="David" w:hint="cs"/>
          <w:rtl/>
        </w:rPr>
        <w:t>ש.ב</w:t>
      </w:r>
      <w:r>
        <w:rPr>
          <w:rFonts w:ascii="David" w:hAnsi="David"/>
          <w:rtl/>
        </w:rPr>
        <w:t>, שהלך לעולמו ביום 13.07.17 (להלן: "</w:t>
      </w:r>
      <w:r>
        <w:rPr>
          <w:rFonts w:ascii="David" w:hAnsi="David"/>
          <w:b/>
          <w:bCs/>
          <w:rtl/>
        </w:rPr>
        <w:t>המנוח</w:t>
      </w:r>
      <w:r>
        <w:rPr>
          <w:rFonts w:ascii="David" w:hAnsi="David"/>
          <w:rtl/>
        </w:rPr>
        <w:t xml:space="preserve">") והמנוחה </w:t>
      </w:r>
      <w:r w:rsidR="0042793A">
        <w:rPr>
          <w:rFonts w:ascii="David" w:hAnsi="David" w:hint="cs"/>
          <w:rtl/>
        </w:rPr>
        <w:t xml:space="preserve">מ.ב. </w:t>
      </w:r>
      <w:r>
        <w:rPr>
          <w:rFonts w:ascii="David" w:hAnsi="David"/>
          <w:rtl/>
        </w:rPr>
        <w:t>שהלכה לעולמה ביום 02.11.21 (להלן: "</w:t>
      </w:r>
      <w:r>
        <w:rPr>
          <w:rFonts w:ascii="David" w:hAnsi="David"/>
          <w:b/>
          <w:bCs/>
          <w:rtl/>
        </w:rPr>
        <w:t>המנוחה</w:t>
      </w:r>
      <w:r>
        <w:rPr>
          <w:rFonts w:ascii="David" w:hAnsi="David"/>
          <w:rtl/>
        </w:rPr>
        <w:t>").</w:t>
      </w:r>
    </w:p>
    <w:p w:rsidR="008B4DFE" w:rsidRDefault="008B4DFE" w:rsidP="0042793A">
      <w:pPr>
        <w:numPr>
          <w:ilvl w:val="0"/>
          <w:numId w:val="1"/>
        </w:numPr>
        <w:spacing w:before="240" w:after="240" w:line="360" w:lineRule="auto"/>
        <w:jc w:val="both"/>
        <w:rPr>
          <w:rFonts w:ascii="David" w:hAnsi="David"/>
        </w:rPr>
      </w:pPr>
      <w:r>
        <w:rPr>
          <w:rFonts w:ascii="David" w:hAnsi="David"/>
          <w:rtl/>
        </w:rPr>
        <w:t xml:space="preserve">הבנות </w:t>
      </w:r>
      <w:r w:rsidR="0042793A">
        <w:rPr>
          <w:rFonts w:ascii="David" w:hAnsi="David" w:hint="cs"/>
          <w:rtl/>
        </w:rPr>
        <w:t xml:space="preserve">ל. </w:t>
      </w:r>
      <w:r>
        <w:rPr>
          <w:rFonts w:ascii="David" w:hAnsi="David"/>
          <w:rtl/>
        </w:rPr>
        <w:t>ו</w:t>
      </w:r>
      <w:r w:rsidR="0042793A">
        <w:rPr>
          <w:rFonts w:ascii="David" w:hAnsi="David" w:hint="cs"/>
          <w:rtl/>
        </w:rPr>
        <w:t>-צ.</w:t>
      </w:r>
      <w:r>
        <w:rPr>
          <w:rFonts w:ascii="David" w:hAnsi="David"/>
          <w:rtl/>
        </w:rPr>
        <w:t xml:space="preserve">ייקראו להלן: </w:t>
      </w:r>
      <w:r>
        <w:rPr>
          <w:rFonts w:ascii="David" w:hAnsi="David"/>
          <w:b/>
          <w:bCs/>
          <w:rtl/>
        </w:rPr>
        <w:t>"הבנות"</w:t>
      </w:r>
      <w:r>
        <w:rPr>
          <w:rFonts w:ascii="David" w:hAnsi="David"/>
          <w:rtl/>
        </w:rPr>
        <w:t xml:space="preserve"> והבן </w:t>
      </w:r>
      <w:r w:rsidR="0042793A">
        <w:rPr>
          <w:rFonts w:ascii="David" w:hAnsi="David" w:hint="cs"/>
          <w:rtl/>
        </w:rPr>
        <w:t>מ.</w:t>
      </w:r>
      <w:r>
        <w:rPr>
          <w:rFonts w:ascii="David" w:hAnsi="David"/>
          <w:rtl/>
        </w:rPr>
        <w:t xml:space="preserve"> ייקרא להלן: </w:t>
      </w:r>
      <w:r>
        <w:rPr>
          <w:rFonts w:ascii="David" w:hAnsi="David"/>
          <w:b/>
          <w:bCs/>
          <w:rtl/>
        </w:rPr>
        <w:t>"הבן".</w:t>
      </w:r>
    </w:p>
    <w:p w:rsidR="008B4DFE" w:rsidRDefault="008B4DFE" w:rsidP="008B4DFE">
      <w:pPr>
        <w:numPr>
          <w:ilvl w:val="0"/>
          <w:numId w:val="1"/>
        </w:numPr>
        <w:spacing w:before="240" w:after="240" w:line="360" w:lineRule="auto"/>
        <w:jc w:val="both"/>
        <w:rPr>
          <w:rFonts w:ascii="David" w:hAnsi="David"/>
        </w:rPr>
      </w:pPr>
      <w:r>
        <w:rPr>
          <w:rFonts w:ascii="David" w:hAnsi="David"/>
          <w:rtl/>
        </w:rPr>
        <w:t>המנוח והמנוחה ערכו צוואה הדדית ביום 04.07.03 ולפיה כל צד מוריש את עיזבונו לצד האחר ו"במקרה ששנינו נלך לעולמנו" העיזבון יחולק בחלקים שווים בין שלושת ילדיהם. (להלן: "ה</w:t>
      </w:r>
      <w:r>
        <w:rPr>
          <w:rFonts w:ascii="David" w:hAnsi="David"/>
          <w:b/>
          <w:bCs/>
          <w:rtl/>
        </w:rPr>
        <w:t>צוואה ההדדית</w:t>
      </w:r>
      <w:r>
        <w:rPr>
          <w:rFonts w:ascii="David" w:hAnsi="David"/>
          <w:rtl/>
        </w:rPr>
        <w:t>").</w:t>
      </w:r>
    </w:p>
    <w:p w:rsidR="008B4DFE" w:rsidRDefault="008B4DFE" w:rsidP="008B4DFE">
      <w:pPr>
        <w:numPr>
          <w:ilvl w:val="0"/>
          <w:numId w:val="1"/>
        </w:numPr>
        <w:spacing w:before="240" w:after="240" w:line="360" w:lineRule="auto"/>
        <w:jc w:val="both"/>
        <w:rPr>
          <w:rFonts w:ascii="David" w:hAnsi="David"/>
        </w:rPr>
      </w:pPr>
      <w:r>
        <w:rPr>
          <w:rFonts w:ascii="David" w:hAnsi="David"/>
          <w:rtl/>
        </w:rPr>
        <w:t>לאחר פטירת המנוח, המנוחה הגישה בקשה למתן צו לקיום הצוואה וביום 27.08.17 ניתן צו.</w:t>
      </w:r>
    </w:p>
    <w:p w:rsidR="008B4DFE" w:rsidRDefault="008B4DFE" w:rsidP="008B4DFE">
      <w:pPr>
        <w:numPr>
          <w:ilvl w:val="0"/>
          <w:numId w:val="1"/>
        </w:numPr>
        <w:spacing w:before="240" w:after="240" w:line="360" w:lineRule="auto"/>
        <w:jc w:val="both"/>
        <w:rPr>
          <w:rFonts w:ascii="David" w:hAnsi="David"/>
        </w:rPr>
      </w:pPr>
      <w:r>
        <w:rPr>
          <w:rFonts w:ascii="David" w:hAnsi="David"/>
          <w:rtl/>
        </w:rPr>
        <w:t>עם קיום הצוואה ההדדית, נרשמו כלל הנכסים ע"ש המנוחה ונרשמה הערת אזהרה בלשכת רישום מקרקעין בדבר: "צוואה הדדית והוראת יורש אחר יורש" (נספחים ג,ד לסיכומי הבנות).</w:t>
      </w:r>
    </w:p>
    <w:p w:rsidR="008B4DFE" w:rsidRDefault="008B4DFE" w:rsidP="008B4DFE">
      <w:pPr>
        <w:numPr>
          <w:ilvl w:val="0"/>
          <w:numId w:val="1"/>
        </w:numPr>
        <w:spacing w:before="240" w:after="240" w:line="360" w:lineRule="auto"/>
        <w:jc w:val="both"/>
        <w:rPr>
          <w:rFonts w:ascii="David" w:hAnsi="David"/>
        </w:rPr>
      </w:pPr>
      <w:r>
        <w:rPr>
          <w:rFonts w:ascii="David" w:hAnsi="David"/>
          <w:rtl/>
        </w:rPr>
        <w:lastRenderedPageBreak/>
        <w:t>המנוחה ערכה צוואה חדשה, ביום 29.10.18 (להלן: "</w:t>
      </w:r>
      <w:r>
        <w:rPr>
          <w:rFonts w:ascii="David" w:hAnsi="David"/>
          <w:b/>
          <w:bCs/>
          <w:rtl/>
        </w:rPr>
        <w:t>צוואת 2018</w:t>
      </w:r>
      <w:r>
        <w:rPr>
          <w:rFonts w:ascii="David" w:hAnsi="David"/>
          <w:rtl/>
        </w:rPr>
        <w:t>"). בצוואה זו הורישה את הכספים בחשבון הבנק שלה לשלושת ילדיה בחלקים שווים ואת שלוש הדירות חילקה באופן שציוותה לכל אחד מהם דירה.</w:t>
      </w:r>
    </w:p>
    <w:p w:rsidR="008B4DFE" w:rsidRDefault="008B4DFE" w:rsidP="00AB566F">
      <w:pPr>
        <w:numPr>
          <w:ilvl w:val="0"/>
          <w:numId w:val="1"/>
        </w:numPr>
        <w:spacing w:before="240" w:after="240" w:line="360" w:lineRule="auto"/>
        <w:jc w:val="both"/>
        <w:rPr>
          <w:rFonts w:ascii="David" w:hAnsi="David"/>
        </w:rPr>
      </w:pPr>
      <w:r>
        <w:rPr>
          <w:rFonts w:ascii="David" w:hAnsi="David"/>
          <w:rtl/>
        </w:rPr>
        <w:t xml:space="preserve">בהתאם לצוואה הבן יזכה בבית המגורים, הבת </w:t>
      </w:r>
      <w:r w:rsidR="0042793A">
        <w:rPr>
          <w:rFonts w:ascii="David" w:hAnsi="David" w:hint="cs"/>
          <w:rtl/>
        </w:rPr>
        <w:t>צ.</w:t>
      </w:r>
      <w:r>
        <w:rPr>
          <w:rFonts w:ascii="David" w:hAnsi="David"/>
          <w:rtl/>
        </w:rPr>
        <w:t xml:space="preserve"> בדירה ברחוב </w:t>
      </w:r>
      <w:r w:rsidR="00AB566F">
        <w:rPr>
          <w:rFonts w:ascii="David" w:hAnsi="David" w:hint="cs"/>
          <w:rtl/>
        </w:rPr>
        <w:t>******</w:t>
      </w:r>
      <w:r>
        <w:rPr>
          <w:rFonts w:ascii="David" w:hAnsi="David"/>
          <w:rtl/>
        </w:rPr>
        <w:t xml:space="preserve"> </w:t>
      </w:r>
      <w:r w:rsidR="00AB566F">
        <w:rPr>
          <w:rFonts w:ascii="David" w:hAnsi="David" w:hint="cs"/>
          <w:rtl/>
        </w:rPr>
        <w:t>ב******</w:t>
      </w:r>
      <w:r>
        <w:rPr>
          <w:rFonts w:ascii="David" w:hAnsi="David"/>
          <w:rtl/>
        </w:rPr>
        <w:t xml:space="preserve"> והבת </w:t>
      </w:r>
      <w:r w:rsidR="0042793A">
        <w:rPr>
          <w:rFonts w:ascii="David" w:hAnsi="David" w:hint="cs"/>
          <w:rtl/>
        </w:rPr>
        <w:t>ל.</w:t>
      </w:r>
      <w:r>
        <w:rPr>
          <w:rFonts w:ascii="David" w:hAnsi="David"/>
          <w:rtl/>
        </w:rPr>
        <w:t xml:space="preserve"> בדירה ברחוב </w:t>
      </w:r>
      <w:r w:rsidR="0042793A">
        <w:rPr>
          <w:rFonts w:ascii="David" w:hAnsi="David" w:hint="cs"/>
          <w:rtl/>
        </w:rPr>
        <w:t>**** בעיר ****</w:t>
      </w:r>
      <w:r>
        <w:rPr>
          <w:rFonts w:ascii="David" w:hAnsi="David"/>
          <w:rtl/>
        </w:rPr>
        <w:t>. טרם פטירת המנוחה, הדירה המיועדת לצ</w:t>
      </w:r>
      <w:r w:rsidR="0042793A">
        <w:rPr>
          <w:rFonts w:ascii="David" w:hAnsi="David" w:hint="cs"/>
          <w:rtl/>
        </w:rPr>
        <w:t>.</w:t>
      </w:r>
      <w:r>
        <w:rPr>
          <w:rFonts w:ascii="David" w:hAnsi="David"/>
          <w:rtl/>
        </w:rPr>
        <w:t xml:space="preserve"> נמכרה והדירה המיועדת </w:t>
      </w:r>
      <w:r w:rsidR="0042793A">
        <w:rPr>
          <w:rFonts w:ascii="David" w:hAnsi="David" w:hint="cs"/>
          <w:rtl/>
        </w:rPr>
        <w:t>ל-ל.</w:t>
      </w:r>
      <w:r>
        <w:rPr>
          <w:rFonts w:ascii="David" w:hAnsi="David"/>
          <w:rtl/>
        </w:rPr>
        <w:t xml:space="preserve"> הועמדה למכירה.</w:t>
      </w:r>
    </w:p>
    <w:p w:rsidR="008B4DFE" w:rsidRDefault="008B4DFE" w:rsidP="008B4DFE">
      <w:pPr>
        <w:numPr>
          <w:ilvl w:val="0"/>
          <w:numId w:val="1"/>
        </w:numPr>
        <w:spacing w:before="240" w:after="240" w:line="360" w:lineRule="auto"/>
        <w:jc w:val="both"/>
        <w:rPr>
          <w:rFonts w:ascii="David" w:hAnsi="David"/>
        </w:rPr>
      </w:pPr>
      <w:r>
        <w:rPr>
          <w:rFonts w:ascii="David" w:hAnsi="David"/>
          <w:rtl/>
        </w:rPr>
        <w:t>בדיון מיום 17.12.23, הסכימו הצדדים כי בשלב ראשוני בימ"ש ייתן פס"ד בשאלה:</w:t>
      </w:r>
    </w:p>
    <w:p w:rsidR="008B4DFE" w:rsidRDefault="008B4DFE" w:rsidP="008B4DFE">
      <w:pPr>
        <w:spacing w:before="240" w:after="240" w:line="360" w:lineRule="auto"/>
        <w:ind w:left="720"/>
        <w:jc w:val="both"/>
        <w:rPr>
          <w:rFonts w:ascii="David" w:hAnsi="David"/>
          <w:b/>
          <w:bCs/>
        </w:rPr>
      </w:pPr>
      <w:r>
        <w:rPr>
          <w:rFonts w:ascii="David" w:hAnsi="David"/>
          <w:b/>
          <w:bCs/>
          <w:rtl/>
        </w:rPr>
        <w:t>האם לאור נוסח הצוואה משנת 2003 המצווה יכלה לערוך צוואה אחרת, שכן על פניו הצוואה מנוסחת כצוואה הדדית, אולם הצוואה נערכה טרם התיקון לחוק הירושה שהגביל את זכותו של מצווה בצוואה הדדית לשנות צוואתו.</w:t>
      </w:r>
    </w:p>
    <w:p w:rsidR="008B4DFE" w:rsidRDefault="008B4DFE" w:rsidP="008B4DFE">
      <w:pPr>
        <w:numPr>
          <w:ilvl w:val="0"/>
          <w:numId w:val="1"/>
        </w:numPr>
        <w:spacing w:before="240" w:after="240" w:line="360" w:lineRule="auto"/>
        <w:jc w:val="both"/>
        <w:rPr>
          <w:rFonts w:ascii="David" w:hAnsi="David"/>
          <w:rtl/>
        </w:rPr>
      </w:pPr>
      <w:r>
        <w:rPr>
          <w:rFonts w:ascii="David" w:hAnsi="David"/>
          <w:rtl/>
        </w:rPr>
        <w:t xml:space="preserve">כיום מונחים לפני בית המשפט מספר הליכים, בקשות לקיום צוואות והתנגדויות. </w:t>
      </w:r>
    </w:p>
    <w:p w:rsidR="008B4DFE" w:rsidRDefault="008B4DFE" w:rsidP="008B4DFE">
      <w:pPr>
        <w:spacing w:before="240" w:after="240" w:line="360" w:lineRule="auto"/>
        <w:ind w:left="720"/>
        <w:jc w:val="both"/>
        <w:rPr>
          <w:rFonts w:ascii="David" w:hAnsi="David"/>
        </w:rPr>
      </w:pPr>
      <w:r>
        <w:rPr>
          <w:rFonts w:ascii="David" w:hAnsi="David"/>
          <w:rtl/>
        </w:rPr>
        <w:t xml:space="preserve">הבנות מבקשות את קיום הצוואה משנת 2003 ומתנגדות לקיום הצוואה משנת 2018. כן הן תובעות בתמ"ש 48903-09-22 בו הן עותרות לביטול הענקות והעברות שבוצעו מהמנוחה לבן עוד בחיי המנוחה.  </w:t>
      </w:r>
    </w:p>
    <w:p w:rsidR="008B4DFE" w:rsidRDefault="008B4DFE" w:rsidP="008B4DFE">
      <w:pPr>
        <w:spacing w:before="240" w:after="240" w:line="360" w:lineRule="auto"/>
        <w:ind w:left="720"/>
        <w:jc w:val="both"/>
        <w:rPr>
          <w:rFonts w:ascii="David" w:hAnsi="David"/>
        </w:rPr>
      </w:pPr>
      <w:r>
        <w:rPr>
          <w:rFonts w:ascii="David" w:hAnsi="David"/>
          <w:rtl/>
        </w:rPr>
        <w:t>הבן מתנגד לצוואה משנת 2003, מבקש את קיום הצוואה משנת 2018 ונתבע בתמ"ש 48903-09-22.</w:t>
      </w:r>
    </w:p>
    <w:p w:rsidR="008B4DFE" w:rsidRDefault="008B4DFE" w:rsidP="008B4DFE">
      <w:pPr>
        <w:spacing w:before="240" w:after="240" w:line="360" w:lineRule="auto"/>
        <w:ind w:left="26"/>
        <w:jc w:val="both"/>
        <w:rPr>
          <w:rFonts w:ascii="David" w:hAnsi="David"/>
          <w:b/>
          <w:bCs/>
          <w:u w:val="single"/>
          <w:rtl/>
        </w:rPr>
      </w:pPr>
      <w:r>
        <w:rPr>
          <w:rFonts w:ascii="David" w:hAnsi="David"/>
          <w:b/>
          <w:bCs/>
          <w:u w:val="single"/>
          <w:rtl/>
        </w:rPr>
        <w:t>טענות הבנות</w:t>
      </w:r>
    </w:p>
    <w:p w:rsidR="008B4DFE" w:rsidRDefault="008B4DFE" w:rsidP="008B4DFE">
      <w:pPr>
        <w:numPr>
          <w:ilvl w:val="0"/>
          <w:numId w:val="1"/>
        </w:numPr>
        <w:spacing w:before="240" w:after="240" w:line="360" w:lineRule="auto"/>
        <w:ind w:left="714" w:hanging="357"/>
        <w:jc w:val="both"/>
        <w:rPr>
          <w:rFonts w:ascii="David" w:hAnsi="David"/>
          <w:rtl/>
        </w:rPr>
      </w:pPr>
      <w:r>
        <w:rPr>
          <w:rFonts w:ascii="David" w:hAnsi="David"/>
          <w:rtl/>
        </w:rPr>
        <w:t>הצוואה משנת 2003 היא צוואה הדדית בה המנוחים נטלו על עצמם הגבלה מכוח הוראת "יורש אחר יורש" ועל כן המנוחה לא הייתה רשאית לערוך צוואה חדשה הגורעת מחלקן של הבנות למרות שהצוואה נערכה טרם התיקון לחוק הירושה, נוכח אינטרס ההסתמכות של המורישים עת ערכו את הצוואה ההדדית ומכוח עיקרון תום הלב.</w:t>
      </w:r>
    </w:p>
    <w:p w:rsidR="008B4DFE" w:rsidRDefault="008B4DFE" w:rsidP="008B4DFE">
      <w:pPr>
        <w:numPr>
          <w:ilvl w:val="0"/>
          <w:numId w:val="1"/>
        </w:numPr>
        <w:spacing w:before="240" w:after="240" w:line="360" w:lineRule="auto"/>
        <w:ind w:left="714" w:hanging="357"/>
        <w:jc w:val="both"/>
        <w:rPr>
          <w:rFonts w:ascii="David" w:hAnsi="David"/>
        </w:rPr>
      </w:pPr>
      <w:r>
        <w:rPr>
          <w:rFonts w:ascii="David" w:hAnsi="David"/>
          <w:rtl/>
        </w:rPr>
        <w:t xml:space="preserve">בצוואה ההדדית מופיעה הוראת "יורש אחר יורש" ועל כן חל סעיף 42(ב) לחוק הירושה תשכ"ה" – 1965 והמנוחה לא יכולה הייתה לערוך צוואה חדשה הגורעת מחלקן של הבנות. </w:t>
      </w:r>
    </w:p>
    <w:p w:rsidR="008B4DFE" w:rsidRDefault="008B4DFE" w:rsidP="008B4DFE">
      <w:pPr>
        <w:numPr>
          <w:ilvl w:val="0"/>
          <w:numId w:val="1"/>
        </w:numPr>
        <w:spacing w:before="240" w:after="240" w:line="360" w:lineRule="auto"/>
        <w:ind w:left="714" w:hanging="357"/>
        <w:jc w:val="both"/>
        <w:rPr>
          <w:rFonts w:ascii="David" w:hAnsi="David"/>
        </w:rPr>
      </w:pPr>
      <w:r>
        <w:rPr>
          <w:rFonts w:ascii="David" w:hAnsi="David"/>
          <w:rtl/>
        </w:rPr>
        <w:t>למרות שהצוואה ההדדית נערכה טרם התיקון לחוק הירושה, בהתאם לפסיקה ככל וניתן ללמוד על הגבלה שנטלו על עצמם המורישים, הם מנועים לערוך צוואה חדשה. במקרה זה ההגבלה מתבטאת בהוראת "יורש אחר יורש".</w:t>
      </w:r>
    </w:p>
    <w:p w:rsidR="008B4DFE" w:rsidRDefault="008B4DFE" w:rsidP="008B4DFE">
      <w:pPr>
        <w:numPr>
          <w:ilvl w:val="0"/>
          <w:numId w:val="1"/>
        </w:numPr>
        <w:spacing w:before="240" w:after="240" w:line="360" w:lineRule="auto"/>
        <w:ind w:left="714" w:hanging="357"/>
        <w:jc w:val="both"/>
        <w:rPr>
          <w:rFonts w:ascii="David" w:hAnsi="David"/>
        </w:rPr>
      </w:pPr>
      <w:r>
        <w:rPr>
          <w:rFonts w:ascii="David" w:hAnsi="David"/>
          <w:rtl/>
        </w:rPr>
        <w:lastRenderedPageBreak/>
        <w:t>הבנות מסכימות כי סעיף 8א לחוק הירושה אינו חל במקרה זה, אך טוענות כי סעיף 42(ב) חל.</w:t>
      </w:r>
    </w:p>
    <w:p w:rsidR="008B4DFE" w:rsidRDefault="008B4DFE" w:rsidP="008B4DFE">
      <w:pPr>
        <w:numPr>
          <w:ilvl w:val="0"/>
          <w:numId w:val="1"/>
        </w:numPr>
        <w:spacing w:before="240" w:after="240" w:line="360" w:lineRule="auto"/>
        <w:ind w:left="714" w:hanging="357"/>
        <w:jc w:val="both"/>
        <w:rPr>
          <w:rFonts w:ascii="David" w:hAnsi="David"/>
        </w:rPr>
      </w:pPr>
      <w:r>
        <w:rPr>
          <w:rFonts w:ascii="David" w:hAnsi="David"/>
          <w:rtl/>
        </w:rPr>
        <w:t>הבנות טוענות כי יש לדחות את פרשנות הבן, כי המנוחים קבעו הוראה של "יורש במקום יורש" שכן הוראות הצוואה ברורות ומשמעותן "יורש אחר יורש".</w:t>
      </w:r>
    </w:p>
    <w:p w:rsidR="008B4DFE" w:rsidRDefault="008B4DFE" w:rsidP="008B4DFE">
      <w:pPr>
        <w:numPr>
          <w:ilvl w:val="0"/>
          <w:numId w:val="1"/>
        </w:numPr>
        <w:spacing w:before="240" w:after="240" w:line="360" w:lineRule="auto"/>
        <w:ind w:left="714" w:hanging="357"/>
        <w:jc w:val="both"/>
        <w:rPr>
          <w:rFonts w:ascii="David" w:hAnsi="David"/>
        </w:rPr>
      </w:pPr>
      <w:r>
        <w:rPr>
          <w:rFonts w:ascii="David" w:hAnsi="David"/>
          <w:rtl/>
        </w:rPr>
        <w:t xml:space="preserve">כן הן טוענות כי יש לדחות את טענת הבן כי ייתכן והמנוחה לא הייתה רשאית לשנות את הצוואה ביחס לחלקו של המנוח בעיזבון אך הייתה רשאית לערוך שינוי ביחס לחלקה, שכן טענה זו אינה עולה בקנה אחד עם לשון החוק. </w:t>
      </w:r>
    </w:p>
    <w:p w:rsidR="008B4DFE" w:rsidRDefault="008B4DFE" w:rsidP="008B4DFE">
      <w:pPr>
        <w:spacing w:before="240" w:after="240" w:line="360" w:lineRule="auto"/>
        <w:ind w:left="26"/>
        <w:jc w:val="both"/>
        <w:rPr>
          <w:rFonts w:ascii="David" w:hAnsi="David"/>
          <w:b/>
          <w:bCs/>
          <w:u w:val="single"/>
        </w:rPr>
      </w:pPr>
      <w:r>
        <w:rPr>
          <w:rFonts w:ascii="David" w:hAnsi="David"/>
          <w:b/>
          <w:bCs/>
          <w:u w:val="single"/>
          <w:rtl/>
        </w:rPr>
        <w:t>טענות הבן</w:t>
      </w:r>
    </w:p>
    <w:p w:rsidR="008B4DFE" w:rsidRDefault="008B4DFE" w:rsidP="008B4DFE">
      <w:pPr>
        <w:numPr>
          <w:ilvl w:val="0"/>
          <w:numId w:val="1"/>
        </w:numPr>
        <w:spacing w:before="240" w:after="240" w:line="360" w:lineRule="auto"/>
        <w:ind w:left="714" w:hanging="357"/>
        <w:jc w:val="both"/>
        <w:rPr>
          <w:rFonts w:ascii="David" w:hAnsi="David"/>
          <w:b/>
          <w:bCs/>
          <w:u w:val="single"/>
          <w:rtl/>
        </w:rPr>
      </w:pPr>
      <w:r>
        <w:rPr>
          <w:rFonts w:ascii="David" w:hAnsi="David"/>
          <w:rtl/>
        </w:rPr>
        <w:t>בית משפט נדרש להכריע בשאלה האם רשאית המצווה לערוך צוואה חדשה מיום 29.10.18, לאחר שחתמה על צוואה ביום 4.7.03, הנחזית כצוואה הדדית.</w:t>
      </w:r>
    </w:p>
    <w:p w:rsidR="008B4DFE" w:rsidRDefault="008B4DFE" w:rsidP="008B4DFE">
      <w:pPr>
        <w:numPr>
          <w:ilvl w:val="0"/>
          <w:numId w:val="1"/>
        </w:numPr>
        <w:spacing w:before="240" w:after="240" w:line="360" w:lineRule="auto"/>
        <w:jc w:val="both"/>
        <w:rPr>
          <w:rFonts w:ascii="David" w:hAnsi="David"/>
        </w:rPr>
      </w:pPr>
      <w:r>
        <w:rPr>
          <w:rFonts w:ascii="David" w:hAnsi="David"/>
          <w:rtl/>
        </w:rPr>
        <w:t>סעיף 8א' לחוק הירושה (תיקון 12 מיום 19.7.05), דן בצוואות הדדיות. התיקון נחקק שנתיים לאחר עריכת הצוואה הראשונה (4.7.03). על כן, אין מקום להסתמך על סעיף 8ב'(2) לחוק הירושה. סעיף 2 להוראות התיקון (הוראת מעבר) קובע כי הוראות חוק זה לא יפגעו בתוקפן של צוואות שנעשו לפניו.</w:t>
      </w:r>
    </w:p>
    <w:p w:rsidR="008B4DFE" w:rsidRDefault="008B4DFE" w:rsidP="008B4DFE">
      <w:pPr>
        <w:numPr>
          <w:ilvl w:val="0"/>
          <w:numId w:val="1"/>
        </w:numPr>
        <w:spacing w:before="240" w:after="240" w:line="360" w:lineRule="auto"/>
        <w:jc w:val="both"/>
        <w:rPr>
          <w:rFonts w:ascii="David" w:hAnsi="David"/>
        </w:rPr>
      </w:pPr>
      <w:r>
        <w:rPr>
          <w:rFonts w:ascii="David" w:hAnsi="David"/>
          <w:rtl/>
        </w:rPr>
        <w:t>גישת בתי המשפט בטרם תוקן החוק, הייתה שהוראות חוק הירושה חלים באותה מידה על צוואה רגילה וגם על צוואה הדדית וכל מצווה רשאי לשנות צוואתו כרצונו (ע"א 576/72, ע"א 290/70 ואח'). גישת  בית משפט עליון לעניין צוואות הדדיות הייתה כי אין כל הגבלה ביחס לשינוי צוואה, על כן, עקרונית ניתן לבטלן או לשנותה לאחר פטירת אחד מבני הזוג כל עוד לא  הייתה הוראה אחרת בצוואה הדדית כפי המקרה הנדון. בנוסף, טרם תוקן חוק הירושה הרי שהיה רשאי בן זוג לשנות צוואתו ללא ידיעת בן הזוג האחר ועדיין ליהנות כזוכה בצוואה הדדית של בן הזוג האחר. ההנחה הייתה כי לא קיימת הסתמכות ביניהם.</w:t>
      </w:r>
    </w:p>
    <w:p w:rsidR="008B4DFE" w:rsidRDefault="008B4DFE" w:rsidP="008B4DFE">
      <w:pPr>
        <w:numPr>
          <w:ilvl w:val="0"/>
          <w:numId w:val="1"/>
        </w:numPr>
        <w:spacing w:before="240" w:after="240" w:line="360" w:lineRule="auto"/>
        <w:jc w:val="both"/>
        <w:rPr>
          <w:rFonts w:ascii="David" w:hAnsi="David"/>
        </w:rPr>
      </w:pPr>
      <w:r>
        <w:rPr>
          <w:rFonts w:ascii="David" w:hAnsi="David"/>
          <w:rtl/>
        </w:rPr>
        <w:t>המנוחה לא ביטלה את הצוואה הראשונה, אלא לאחר שנוכחה לדעת כי הצוואה המשותפת לא נערכה בצורה מקצועית ע"י עו"ד כאשר ניסו לקיימה, ערכה צוואה מסודרת שלא פגעה באינטרס ההסתמכות. המנוחה חילקה את שלוש הדירות בין שלושת ילדיה כראות עיניה כדי למנוע סכסוך ביניהם.</w:t>
      </w:r>
    </w:p>
    <w:p w:rsidR="008B4DFE" w:rsidRDefault="008B4DFE" w:rsidP="008B4DFE">
      <w:pPr>
        <w:numPr>
          <w:ilvl w:val="0"/>
          <w:numId w:val="1"/>
        </w:numPr>
        <w:spacing w:before="240" w:after="240" w:line="360" w:lineRule="auto"/>
        <w:ind w:left="746"/>
        <w:jc w:val="both"/>
        <w:rPr>
          <w:rFonts w:ascii="David" w:hAnsi="David"/>
        </w:rPr>
      </w:pPr>
      <w:r>
        <w:rPr>
          <w:rFonts w:ascii="David" w:hAnsi="David"/>
          <w:rtl/>
        </w:rPr>
        <w:t xml:space="preserve">בצוואה הראשונה מיום 4.7.03, לא נאסר למכור נכס כלשהו מהרכוש המשותף (4 דירות משותפות). </w:t>
      </w:r>
    </w:p>
    <w:p w:rsidR="008B4DFE" w:rsidRDefault="008B4DFE" w:rsidP="008B4DFE">
      <w:pPr>
        <w:numPr>
          <w:ilvl w:val="0"/>
          <w:numId w:val="1"/>
        </w:numPr>
        <w:spacing w:before="240" w:after="240" w:line="360" w:lineRule="auto"/>
        <w:ind w:left="746"/>
        <w:jc w:val="both"/>
        <w:rPr>
          <w:rFonts w:ascii="David" w:hAnsi="David"/>
        </w:rPr>
      </w:pPr>
      <w:r>
        <w:rPr>
          <w:rFonts w:ascii="David" w:hAnsi="David"/>
          <w:rtl/>
        </w:rPr>
        <w:lastRenderedPageBreak/>
        <w:t>הבן טוען כי הוראת הצוואה משנת 2003 היא הוראת "יורש במקום יורש". צוואת המנוח קוימה, המנוחה ירשה אותו והיא יכולה להעביר את הרכוש בין בחייה ובין על פי צוואה ללא כל הגבלה.</w:t>
      </w:r>
    </w:p>
    <w:p w:rsidR="008B4DFE" w:rsidRDefault="008B4DFE" w:rsidP="008B4DFE">
      <w:pPr>
        <w:spacing w:before="240" w:after="240" w:line="360" w:lineRule="auto"/>
        <w:ind w:left="26"/>
        <w:jc w:val="both"/>
        <w:rPr>
          <w:rFonts w:ascii="David" w:hAnsi="David"/>
          <w:b/>
          <w:bCs/>
          <w:u w:val="single"/>
        </w:rPr>
      </w:pPr>
      <w:r>
        <w:rPr>
          <w:rFonts w:ascii="David" w:hAnsi="David"/>
          <w:b/>
          <w:bCs/>
          <w:u w:val="single"/>
          <w:rtl/>
        </w:rPr>
        <w:t>המתווה הנורמטיבי:</w:t>
      </w:r>
    </w:p>
    <w:p w:rsidR="008B4DFE" w:rsidRDefault="008B4DFE" w:rsidP="008B4DFE">
      <w:pPr>
        <w:numPr>
          <w:ilvl w:val="0"/>
          <w:numId w:val="1"/>
        </w:numPr>
        <w:spacing w:before="240" w:after="240" w:line="360" w:lineRule="auto"/>
        <w:jc w:val="both"/>
        <w:rPr>
          <w:rFonts w:ascii="David" w:hAnsi="David"/>
          <w:rtl/>
        </w:rPr>
      </w:pPr>
      <w:r>
        <w:rPr>
          <w:rFonts w:ascii="David" w:hAnsi="David"/>
          <w:rtl/>
        </w:rPr>
        <w:t xml:space="preserve">בעמ"ש 39317-10-22 </w:t>
      </w:r>
      <w:r>
        <w:rPr>
          <w:rFonts w:ascii="David" w:hAnsi="David"/>
          <w:b/>
          <w:bCs/>
          <w:rtl/>
        </w:rPr>
        <w:t>ד.א נ' ג.ק</w:t>
      </w:r>
      <w:r>
        <w:rPr>
          <w:rFonts w:ascii="David" w:hAnsi="David"/>
          <w:rtl/>
        </w:rPr>
        <w:t xml:space="preserve"> (ניתן ביום 2.10.23 פורסם במאגרי המידע) תאר השופט ויצמן את הדין החל על צוואות הדדיות שנערכו טרם תיקון 12 לחוק הירושה: </w:t>
      </w:r>
    </w:p>
    <w:p w:rsidR="008B4DFE" w:rsidRDefault="008B4DFE" w:rsidP="008B4DFE">
      <w:pPr>
        <w:spacing w:before="240" w:after="240" w:line="360" w:lineRule="auto"/>
        <w:ind w:firstLine="644"/>
        <w:contextualSpacing/>
        <w:jc w:val="both"/>
        <w:rPr>
          <w:rFonts w:ascii="David" w:hAnsi="David"/>
          <w:b/>
          <w:bCs/>
          <w:rtl/>
        </w:rPr>
      </w:pPr>
      <w:r>
        <w:rPr>
          <w:rFonts w:ascii="David" w:hAnsi="David"/>
          <w:b/>
          <w:bCs/>
          <w:rtl/>
        </w:rPr>
        <w:t>"המצב המשפטי טרם תיקון 12 לחוק ופסיקת בית המשפט העליון בעניין זמיר.</w:t>
      </w:r>
    </w:p>
    <w:p w:rsidR="008B4DFE" w:rsidRDefault="008B4DFE" w:rsidP="008B4DFE">
      <w:pPr>
        <w:pStyle w:val="ae"/>
        <w:spacing w:before="240" w:after="240" w:line="360" w:lineRule="auto"/>
        <w:ind w:left="644"/>
        <w:contextualSpacing/>
        <w:jc w:val="both"/>
        <w:rPr>
          <w:rFonts w:ascii="David" w:hAnsi="David" w:cs="David"/>
          <w:b/>
          <w:bCs/>
          <w:rtl/>
        </w:rPr>
      </w:pPr>
      <w:r>
        <w:rPr>
          <w:rFonts w:ascii="David" w:hAnsi="David" w:cs="David" w:hint="cs"/>
          <w:b/>
          <w:bCs/>
          <w:rtl/>
        </w:rPr>
        <w:t xml:space="preserve"> 40.   </w:t>
      </w:r>
      <w:r>
        <w:rPr>
          <w:rFonts w:ascii="David" w:hAnsi="David" w:cs="David"/>
          <w:b/>
          <w:bCs/>
          <w:rtl/>
        </w:rPr>
        <w:t xml:space="preserve">משך שנים קודם לתיקון 12 לחוק הירושה העלו מלומדים והשופטים בערכאות השונות את התהייה האם צוואות הדדיות מקימות זכות הסתמכות של עורכי הצוואה לבל תשונה על ידי עורכה האחר. הועלו סברות לכאן ולכאן – מחד, נטען כי לב ליבה של הצוואה הוא החופש של עורכה לשנותה בכל עת שיחפוץ וממילא קשה להלום דגם של צוואה המונעת מעורכה לשנותה, וכדברי כב' הש' א. ברק בעניין מלמד – </w:t>
      </w:r>
    </w:p>
    <w:p w:rsidR="008B4DFE" w:rsidRDefault="008B4DFE" w:rsidP="008B4DFE">
      <w:pPr>
        <w:spacing w:before="240" w:after="240" w:line="360" w:lineRule="auto"/>
        <w:ind w:left="793" w:right="993"/>
        <w:jc w:val="both"/>
        <w:rPr>
          <w:rFonts w:ascii="David" w:hAnsi="David"/>
          <w:b/>
          <w:bCs/>
        </w:rPr>
      </w:pPr>
      <w:r w:rsidRPr="008B4DFE">
        <w:rPr>
          <w:rFonts w:ascii="David" w:hAnsi="David"/>
          <w:b/>
          <w:bCs/>
          <w:noProof w:val="0"/>
        </w:rPr>
        <w:t>"</w:t>
      </w:r>
      <w:r>
        <w:rPr>
          <w:rFonts w:ascii="David" w:hAnsi="David"/>
          <w:b/>
          <w:bCs/>
          <w:noProof w:val="0"/>
          <w:rtl/>
        </w:rPr>
        <w:t>כלל היסוד בדיני צוואות הוא שהמצווה רשאי לשנות את צוואתו בכל עת שירצה... הוראה (בצוואה או מחוצה לה) השוללת את כוחו של המצווה לשנות את הצוואה או מגבילה אותו - בטלה. כמו כן, כל הסכם בדבר ירושתו של אדם - בטל (סע' 8 לחוק הירושה)..." (ע"א 4402/98 מלמד נ. סלומון (1999) מתוך שכך נקבע בפסיקה מוקדמת יותר שאין כל הסתמכות בעצם עריכתה של צוואה הדדית – ראו, כדוגמה – ע"א 576/72 משה שפיר נ.  צבי אריה שפיר (1973);</w:t>
      </w:r>
      <w:r>
        <w:rPr>
          <w:rFonts w:ascii="David" w:hAnsi="David"/>
          <w:b/>
          <w:bCs/>
          <w:rtl/>
        </w:rPr>
        <w:t xml:space="preserve"> ע"א 290/78 עוזיאל וינשנקר נ. אליאס אדלמן (1979))"</w:t>
      </w:r>
    </w:p>
    <w:p w:rsidR="008B4DFE" w:rsidRDefault="008B4DFE" w:rsidP="008B4DFE">
      <w:pPr>
        <w:spacing w:before="240" w:after="240" w:line="360" w:lineRule="auto"/>
        <w:ind w:firstLine="720"/>
        <w:jc w:val="both"/>
        <w:rPr>
          <w:rFonts w:ascii="David" w:hAnsi="David"/>
          <w:b/>
          <w:bCs/>
          <w:rtl/>
        </w:rPr>
      </w:pPr>
      <w:r>
        <w:rPr>
          <w:rFonts w:ascii="David" w:hAnsi="David"/>
          <w:b/>
          <w:bCs/>
          <w:rtl/>
        </w:rPr>
        <w:t xml:space="preserve">ומאידך הוסיף באותה נשימה  – </w:t>
      </w:r>
    </w:p>
    <w:p w:rsidR="008B4DFE" w:rsidRDefault="008B4DFE" w:rsidP="008B4DFE">
      <w:pPr>
        <w:spacing w:before="240" w:after="240" w:line="360" w:lineRule="auto"/>
        <w:ind w:left="793" w:right="993"/>
        <w:jc w:val="both"/>
        <w:rPr>
          <w:rFonts w:ascii="David" w:hAnsi="David"/>
          <w:b/>
          <w:bCs/>
          <w:noProof w:val="0"/>
          <w:rtl/>
        </w:rPr>
      </w:pPr>
      <w:r>
        <w:rPr>
          <w:rFonts w:ascii="David" w:hAnsi="David"/>
          <w:b/>
          <w:bCs/>
          <w:noProof w:val="0"/>
          <w:rtl/>
        </w:rPr>
        <w:t>"...החלתו של דין זה בצוואה המשותפת וההדדית מעוררת קושי ניכר. בצוואה משותפת והדדית קיים אינטרס הסתמכות שעליו ראוי לכאורה להגן. בכך שונה צוואה משותפת והדדית מצוואה "רגילה</w:t>
      </w:r>
      <w:r>
        <w:rPr>
          <w:rFonts w:ascii="David" w:hAnsi="David"/>
          <w:b/>
          <w:bCs/>
          <w:noProof w:val="0"/>
        </w:rPr>
        <w:t>". </w:t>
      </w:r>
      <w:r>
        <w:rPr>
          <w:rFonts w:ascii="David" w:hAnsi="David"/>
          <w:b/>
          <w:bCs/>
          <w:noProof w:val="0"/>
          <w:rtl/>
        </w:rPr>
        <w:t xml:space="preserve">בצוואה רגילה אין אינטרס הסתמכות ראוי להגנה (...)" (שם). </w:t>
      </w:r>
    </w:p>
    <w:p w:rsidR="008B4DFE" w:rsidRDefault="008B4DFE" w:rsidP="008B4DFE">
      <w:pPr>
        <w:spacing w:before="240" w:after="240" w:line="360" w:lineRule="auto"/>
        <w:ind w:left="720"/>
        <w:jc w:val="both"/>
        <w:rPr>
          <w:rFonts w:ascii="David" w:hAnsi="David"/>
          <w:b/>
          <w:bCs/>
          <w:rtl/>
        </w:rPr>
      </w:pPr>
      <w:r>
        <w:rPr>
          <w:rFonts w:ascii="David" w:hAnsi="David"/>
          <w:b/>
          <w:bCs/>
          <w:rtl/>
        </w:rPr>
        <w:t xml:space="preserve">מכאן אף באה קריאתו למחוקק, בספרו פרשנות במשפט, כרך חמישי - פרשנות הצוואה, תשס"א) עמ' 68-72 - </w:t>
      </w:r>
    </w:p>
    <w:p w:rsidR="008B4DFE" w:rsidRDefault="008B4DFE" w:rsidP="008B4DFE">
      <w:pPr>
        <w:spacing w:before="240" w:after="240" w:line="360" w:lineRule="auto"/>
        <w:ind w:left="793" w:right="993"/>
        <w:jc w:val="both"/>
        <w:rPr>
          <w:rFonts w:ascii="David" w:hAnsi="David"/>
          <w:b/>
          <w:bCs/>
          <w:noProof w:val="0"/>
          <w:rtl/>
        </w:rPr>
      </w:pPr>
      <w:r>
        <w:rPr>
          <w:rFonts w:ascii="David" w:hAnsi="David"/>
          <w:b/>
          <w:bCs/>
          <w:noProof w:val="0"/>
          <w:rtl/>
        </w:rPr>
        <w:t xml:space="preserve">"...ההסדר הקיים בכל הנוגע לצוואה המשותפת אינו מניח את הדעת...נראה לי כי היה ראוי למחוקק לנקוט בעניין הצוואה המשותפת - ובעיקר זו ההדדית </w:t>
      </w:r>
      <w:r>
        <w:rPr>
          <w:rFonts w:ascii="David" w:hAnsi="David"/>
          <w:b/>
          <w:bCs/>
          <w:noProof w:val="0"/>
          <w:rtl/>
        </w:rPr>
        <w:lastRenderedPageBreak/>
        <w:t xml:space="preserve">- עמדה ברורה: אם לשלילה - ייאמר הדבר במפורש; אם לחיוב - ייקבעו הוראות התומכות בצורת צוואה זו, והנותנות לה תוקף. המצב הקיים, שבו קיימת הכרה בצוואה המשותפת כצוואה של יחיד - טומן בחובו קשיים עיוניים ומעשיים גם יחד, וספק אם הוא תואם את הציפיות הסבירות של המצווים" </w:t>
      </w:r>
    </w:p>
    <w:p w:rsidR="008B4DFE" w:rsidRDefault="008B4DFE" w:rsidP="008B4DFE">
      <w:pPr>
        <w:spacing w:before="240" w:after="240" w:line="360" w:lineRule="auto"/>
        <w:ind w:left="644"/>
        <w:jc w:val="both"/>
        <w:rPr>
          <w:rFonts w:ascii="David" w:hAnsi="David"/>
          <w:b/>
          <w:bCs/>
          <w:rtl/>
        </w:rPr>
      </w:pPr>
      <w:r>
        <w:rPr>
          <w:rFonts w:ascii="David" w:hAnsi="David"/>
          <w:b/>
          <w:bCs/>
          <w:rtl/>
        </w:rPr>
        <w:t xml:space="preserve">ואכן קריאתו של כב' הש' ברק נענתה על ידי המחוקק בתיקון מספר 12 לחוק, אך לכך נשוב בהמשך הדברים.  </w:t>
      </w:r>
    </w:p>
    <w:p w:rsidR="008B4DFE" w:rsidRDefault="008B4DFE" w:rsidP="008B4DFE">
      <w:pPr>
        <w:pStyle w:val="ae"/>
        <w:spacing w:before="240" w:after="240" w:line="360" w:lineRule="auto"/>
        <w:ind w:left="644"/>
        <w:jc w:val="both"/>
        <w:rPr>
          <w:rFonts w:ascii="David" w:hAnsi="David" w:cs="David"/>
          <w:b/>
          <w:bCs/>
          <w:rtl/>
        </w:rPr>
      </w:pPr>
      <w:r>
        <w:rPr>
          <w:rFonts w:ascii="David" w:hAnsi="David" w:cs="David" w:hint="cs"/>
          <w:b/>
          <w:bCs/>
          <w:rtl/>
        </w:rPr>
        <w:t xml:space="preserve">41. </w:t>
      </w:r>
      <w:r>
        <w:rPr>
          <w:rFonts w:ascii="David" w:hAnsi="David" w:cs="David"/>
          <w:b/>
          <w:bCs/>
          <w:rtl/>
        </w:rPr>
        <w:t xml:space="preserve">מכל מקום, ביחס לצוואות שנערכו קודם לתיקון 12 לחוק הירושה חלה ההלכה שנקבעה בעניין זמיר. בעניין זמיר נדרש בית המשפט לעניינן של צוואות הדדיות שנערכו קודם התיקון לחוק ואשר כללו הוראת "יורש במקום יורש" (ולא הוראת "יורש אחר יורש"  כבעניין דנן).  בית המשפט העליון פסק בדעת רוב (כב' הש' נאור והש' ג'ובראן כנגד דעתה של כב' הש' ארבל) כי ככל שהצוואות נערכו לפני התיקון לחוק הירושה הרי שבני זוג שכתבו צוואותיהם, כל שעמד לפניהם הוא הוראות הדין, הברורות למדי, בדבר אי הטלת הגבלות על שינוי הצוואה. בעניין בני זוג שכאלה, ובהעדר כוונה אחרת, מפורשת או משתמעת, לא ניתן להניח כי רצונם היה להגביל זה את כוחו של זה בשינוי הצוואה. לפיכך, בהעדר כל ראיה על כוונה משותפת אחרת של הצדדים, לא ראוי לקבוע לגבי צוואות שנעשו לפני החוק שהייתה כוונה משותפת להתנות על הדין ולהגביל את בן הזוג האחר. בצד האמור הוסיפה כב' הש' נאור הערה חשובה ביותר הנדרשת לענייננו -     </w:t>
      </w:r>
    </w:p>
    <w:p w:rsidR="008B4DFE" w:rsidRDefault="008B4DFE" w:rsidP="0080421C">
      <w:pPr>
        <w:pStyle w:val="ruller4"/>
        <w:spacing w:before="240" w:after="240"/>
        <w:ind w:left="1034" w:right="993"/>
        <w:rPr>
          <w:rFonts w:ascii="David" w:hAnsi="David" w:cs="David"/>
          <w:b/>
          <w:bCs/>
          <w:sz w:val="24"/>
          <w:szCs w:val="24"/>
          <w:rtl/>
        </w:rPr>
      </w:pPr>
      <w:r>
        <w:rPr>
          <w:rFonts w:ascii="David" w:hAnsi="David" w:cs="David"/>
          <w:b/>
          <w:bCs/>
          <w:sz w:val="24"/>
          <w:szCs w:val="24"/>
          <w:rtl/>
        </w:rPr>
        <w:t xml:space="preserve">"עם זאת, יתכנו צוואות הדדיות אשר פרשנות ההסדר המשולב לא תפתור לגביהן את בעיית ההסתמכות. במקרים מעין אלה ניתן יהיה, כפי שהציע הנשיא ברק, להחיל את עיקרון תום הלב. עיקרון תום הלב הינו עיקרון על החולש על כל חלקיה של שיטת המשפט הישראלית, וזאת באמצעות סע' 61 (ב) לחוק החוזים (חלק כללי), תשל"ג-1973. </w:t>
      </w:r>
      <w:r>
        <w:rPr>
          <w:rFonts w:ascii="David" w:hAnsi="David" w:cs="David"/>
          <w:b/>
          <w:bCs/>
          <w:sz w:val="24"/>
          <w:szCs w:val="24"/>
          <w:u w:val="single"/>
          <w:rtl/>
        </w:rPr>
        <w:t>גם בדיני הצוואות עשה בית משפט זה שימוש בעיקרון תום הלב בהקשר של הסתלקות יורש מחלקו בעיזבון</w:t>
      </w:r>
      <w:r>
        <w:rPr>
          <w:rFonts w:ascii="David" w:hAnsi="David" w:cs="David"/>
          <w:b/>
          <w:bCs/>
          <w:sz w:val="24"/>
          <w:szCs w:val="24"/>
          <w:rtl/>
        </w:rPr>
        <w:t xml:space="preserve"> (ראו רע"א 5103/95 דשת נ. אליהו, פד"י נג(3) 97 (1999)). </w:t>
      </w:r>
      <w:r>
        <w:rPr>
          <w:rFonts w:ascii="David" w:hAnsi="David" w:cs="David"/>
          <w:b/>
          <w:bCs/>
          <w:sz w:val="24"/>
          <w:szCs w:val="24"/>
          <w:u w:val="single"/>
          <w:rtl/>
        </w:rPr>
        <w:t>אני סבורה כי ניתן לעשות שימוש בעיקרון זה במקרים הראויים לכך גם לצורך הגבלת כוחו של מצווה במסגרת צוואה הדדית לחזור בו מצוואתו</w:t>
      </w:r>
      <w:r>
        <w:rPr>
          <w:rFonts w:ascii="David" w:hAnsi="David" w:cs="David"/>
          <w:b/>
          <w:bCs/>
          <w:sz w:val="24"/>
          <w:szCs w:val="24"/>
          <w:rtl/>
        </w:rPr>
        <w:t>... "  (הדגשה שלנו; סע' 20 לפסק הדין של כב' הש' נאור)</w:t>
      </w:r>
    </w:p>
    <w:p w:rsidR="008B4DFE" w:rsidRDefault="008B4DFE" w:rsidP="008B4DFE">
      <w:pPr>
        <w:spacing w:before="240" w:after="240" w:line="360" w:lineRule="auto"/>
        <w:ind w:left="226" w:firstLine="720"/>
        <w:jc w:val="both"/>
        <w:rPr>
          <w:rFonts w:ascii="David" w:hAnsi="David"/>
          <w:b/>
          <w:bCs/>
          <w:rtl/>
        </w:rPr>
      </w:pPr>
      <w:r>
        <w:rPr>
          <w:rFonts w:ascii="David" w:hAnsi="David"/>
          <w:b/>
          <w:bCs/>
          <w:rtl/>
        </w:rPr>
        <w:t>וברוח זו אף דבריו של כבוד השופט ג'ובראן בענין זמיר (בפסקה 6 לפסק דינו):</w:t>
      </w:r>
    </w:p>
    <w:p w:rsidR="008B4DFE" w:rsidRDefault="008B4DFE" w:rsidP="008B4DFE">
      <w:pPr>
        <w:pStyle w:val="ruller4"/>
        <w:spacing w:before="240" w:after="240" w:line="240" w:lineRule="auto"/>
        <w:ind w:left="1034" w:right="993"/>
        <w:rPr>
          <w:rFonts w:ascii="David" w:hAnsi="David" w:cs="David"/>
          <w:b/>
          <w:bCs/>
          <w:sz w:val="24"/>
          <w:szCs w:val="24"/>
          <w:rtl/>
        </w:rPr>
      </w:pPr>
      <w:r>
        <w:rPr>
          <w:rFonts w:ascii="David" w:hAnsi="David" w:cs="David"/>
          <w:b/>
          <w:bCs/>
          <w:sz w:val="24"/>
          <w:szCs w:val="24"/>
          <w:u w:val="single"/>
          <w:rtl/>
        </w:rPr>
        <w:t>"דרך אחרת שהוצעה להגבלת כוחו של המצווה לחזור בו מצוואתו היא באמצעות השימוש בעיקרון תום הלב.</w:t>
      </w:r>
      <w:r>
        <w:rPr>
          <w:rFonts w:ascii="David" w:hAnsi="David" w:cs="David"/>
          <w:b/>
          <w:bCs/>
          <w:sz w:val="24"/>
          <w:szCs w:val="24"/>
          <w:rtl/>
        </w:rPr>
        <w:t xml:space="preserve">.." </w:t>
      </w:r>
    </w:p>
    <w:p w:rsidR="008B4DFE" w:rsidRDefault="0080421C" w:rsidP="0080421C">
      <w:pPr>
        <w:pStyle w:val="ae"/>
        <w:tabs>
          <w:tab w:val="left" w:pos="1076"/>
        </w:tabs>
        <w:spacing w:before="240" w:after="240" w:line="360" w:lineRule="auto"/>
        <w:ind w:left="1076"/>
        <w:jc w:val="both"/>
        <w:rPr>
          <w:rFonts w:ascii="David" w:hAnsi="David" w:cs="David"/>
          <w:b/>
          <w:bCs/>
          <w:rtl/>
        </w:rPr>
      </w:pPr>
      <w:r>
        <w:rPr>
          <w:rFonts w:ascii="David" w:hAnsi="David" w:cs="David" w:hint="cs"/>
          <w:b/>
          <w:bCs/>
          <w:rtl/>
        </w:rPr>
        <w:lastRenderedPageBreak/>
        <w:t xml:space="preserve">42. </w:t>
      </w:r>
      <w:r w:rsidR="008B4DFE">
        <w:rPr>
          <w:rFonts w:ascii="David" w:hAnsi="David" w:cs="David"/>
          <w:b/>
          <w:bCs/>
          <w:rtl/>
        </w:rPr>
        <w:t xml:space="preserve">כאמור, דברים כגון דא נאמרו אף ע"י כב' הש' ברק הן בעניין מלמד הנ"ל והן בספרו בעניין פרשנות צוואה – </w:t>
      </w:r>
    </w:p>
    <w:p w:rsidR="008B4DFE" w:rsidRDefault="008B4DFE" w:rsidP="0080421C">
      <w:pPr>
        <w:pStyle w:val="ruller5"/>
        <w:tabs>
          <w:tab w:val="left" w:pos="7271"/>
        </w:tabs>
        <w:spacing w:before="240" w:after="240" w:line="360" w:lineRule="auto"/>
        <w:ind w:left="1034" w:right="1134"/>
        <w:rPr>
          <w:rFonts w:ascii="David" w:hAnsi="David" w:cs="David"/>
          <w:b/>
          <w:bCs/>
          <w:sz w:val="24"/>
          <w:szCs w:val="24"/>
          <w:rtl/>
        </w:rPr>
      </w:pPr>
      <w:r>
        <w:rPr>
          <w:rFonts w:ascii="David" w:hAnsi="David" w:cs="David"/>
          <w:b/>
          <w:bCs/>
          <w:sz w:val="24"/>
          <w:szCs w:val="24"/>
          <w:rtl/>
        </w:rPr>
        <w:t xml:space="preserve">"קושי נוסף הקיים הוא בגישה, כי גם בצוואה המשותפת וההדדית רשאי המצווה הנותר בחיים לחזור בו מהצוואה ולערוך צוואה חדשה. דבר זה נוגד את ההדדיות שבצוואה. לדעתי, ניתן למנוע תוצאה זו תוך שימוש בעקרון תום הלב. שניים שערכו צוואה משותפת והדדית יצרו אינטרס הסתמכות הדדי. עקרון תום הלב צריך למנוע מהמצווה שנותר בחיים לבטל (באופן חד-צדדי) את הצוואה" (א' ברק, פרשנות במשפט (כרך חמישי -  פרשנות הצוואה , תשס"א, עמ' 72)  </w:t>
      </w:r>
    </w:p>
    <w:p w:rsidR="008B4DFE" w:rsidRDefault="008B4DFE" w:rsidP="008B4DFE">
      <w:pPr>
        <w:spacing w:before="240" w:after="240" w:line="360" w:lineRule="auto"/>
        <w:ind w:left="720"/>
        <w:jc w:val="both"/>
        <w:rPr>
          <w:rFonts w:ascii="David" w:hAnsi="David"/>
          <w:rtl/>
        </w:rPr>
      </w:pPr>
      <w:r>
        <w:rPr>
          <w:rFonts w:ascii="David" w:hAnsi="David"/>
          <w:rtl/>
        </w:rPr>
        <w:t>בסעיף 46 לפסק הדין מסכם השופט ויצמן את ההלכה בכל הנוגע לצוואה הדדית שנערכה לפני התיקון לחוק:</w:t>
      </w:r>
    </w:p>
    <w:p w:rsidR="008B4DFE" w:rsidRDefault="008B4DFE" w:rsidP="008B4DFE">
      <w:pPr>
        <w:spacing w:before="240" w:after="240"/>
        <w:ind w:firstLine="644"/>
        <w:rPr>
          <w:rFonts w:ascii="David" w:hAnsi="David"/>
          <w:b/>
          <w:bCs/>
          <w:rtl/>
        </w:rPr>
      </w:pPr>
      <w:r>
        <w:rPr>
          <w:rFonts w:ascii="David" w:hAnsi="David"/>
          <w:b/>
          <w:bCs/>
          <w:rtl/>
        </w:rPr>
        <w:t>"התייחסות לצוואה ההדדית כצוואה שנערכה לפני התיקון לחוק</w:t>
      </w:r>
    </w:p>
    <w:p w:rsidR="008B4DFE" w:rsidRDefault="0080421C" w:rsidP="0080421C">
      <w:pPr>
        <w:spacing w:before="240" w:after="240" w:line="360" w:lineRule="auto"/>
        <w:ind w:left="1004"/>
        <w:jc w:val="both"/>
        <w:rPr>
          <w:rFonts w:ascii="David" w:hAnsi="David"/>
          <w:b/>
          <w:bCs/>
          <w:noProof w:val="0"/>
          <w:rtl/>
        </w:rPr>
      </w:pPr>
      <w:r>
        <w:rPr>
          <w:rFonts w:ascii="David" w:hAnsi="David" w:hint="cs"/>
          <w:b/>
          <w:bCs/>
          <w:rtl/>
        </w:rPr>
        <w:t xml:space="preserve">46. </w:t>
      </w:r>
      <w:r w:rsidR="008B4DFE">
        <w:rPr>
          <w:rFonts w:ascii="David" w:hAnsi="David"/>
          <w:b/>
          <w:bCs/>
          <w:rtl/>
        </w:rPr>
        <w:t xml:space="preserve">אם נבקש ליישם הדין על הנדון, הרי שנוכח העובדה שעסקינן בצוואות הדדיות שנערכו קודם לתיקון בחוק הרי שמניעות של אחד מעורכי הצוואות לשנותן תקום אך ורק בהתקיים אחת מהאפשרויות הבאות – האחת, באם ניתן יהיה ללמוד מהוראות הצוואה או מנסיבות חתימתה או הנסיבות בכללותן כי הצדדים מתחייבים שלא לשנותה, השנייה - כפי שנפסק בעניין זמיר ונשנה אצל המלומדים – אם נמצא מקום להורות על מניעות לשינוי הצוואה מתוך עקרון תום הלב."  </w:t>
      </w:r>
    </w:p>
    <w:p w:rsidR="008B4DFE" w:rsidRDefault="008B4DFE" w:rsidP="0080421C">
      <w:pPr>
        <w:numPr>
          <w:ilvl w:val="0"/>
          <w:numId w:val="1"/>
        </w:numPr>
        <w:spacing w:before="240" w:after="240" w:line="360" w:lineRule="auto"/>
        <w:jc w:val="both"/>
        <w:rPr>
          <w:rFonts w:ascii="David" w:hAnsi="David"/>
        </w:rPr>
      </w:pPr>
      <w:r>
        <w:rPr>
          <w:rFonts w:ascii="David" w:hAnsi="David"/>
          <w:rtl/>
        </w:rPr>
        <w:t>בענייננו ערכו המנוחים ביום 4.7.2003 צוואה משותפת בפני עדים, בזו הלשון:</w:t>
      </w:r>
    </w:p>
    <w:p w:rsidR="008B4DFE" w:rsidRDefault="008B4DFE" w:rsidP="003620F6">
      <w:pPr>
        <w:spacing w:before="240" w:after="240" w:line="360" w:lineRule="auto"/>
        <w:ind w:left="644"/>
        <w:jc w:val="both"/>
        <w:rPr>
          <w:rFonts w:ascii="David" w:hAnsi="David"/>
          <w:b/>
          <w:bCs/>
        </w:rPr>
      </w:pPr>
      <w:r>
        <w:rPr>
          <w:rFonts w:ascii="David" w:hAnsi="David"/>
          <w:b/>
          <w:bCs/>
          <w:rtl/>
        </w:rPr>
        <w:t xml:space="preserve">"אנחנו בני הזוג </w:t>
      </w:r>
      <w:r w:rsidR="003620F6">
        <w:rPr>
          <w:rFonts w:ascii="David" w:hAnsi="David" w:hint="cs"/>
          <w:b/>
          <w:bCs/>
          <w:rtl/>
        </w:rPr>
        <w:t>ב.ש.</w:t>
      </w:r>
      <w:r>
        <w:rPr>
          <w:rFonts w:ascii="David" w:hAnsi="David"/>
          <w:b/>
          <w:bCs/>
          <w:rtl/>
        </w:rPr>
        <w:t xml:space="preserve"> ת.ז____ ו</w:t>
      </w:r>
      <w:r w:rsidR="003620F6">
        <w:rPr>
          <w:rFonts w:ascii="David" w:hAnsi="David" w:hint="cs"/>
          <w:b/>
          <w:bCs/>
          <w:rtl/>
        </w:rPr>
        <w:t>-ב.מ.</w:t>
      </w:r>
      <w:r>
        <w:rPr>
          <w:rFonts w:ascii="David" w:hAnsi="David"/>
          <w:b/>
          <w:bCs/>
          <w:rtl/>
        </w:rPr>
        <w:t xml:space="preserve"> ת.ז. ___ שגרים ב</w:t>
      </w:r>
      <w:r w:rsidR="003620F6">
        <w:rPr>
          <w:rFonts w:ascii="David" w:hAnsi="David" w:hint="cs"/>
          <w:b/>
          <w:bCs/>
          <w:rtl/>
        </w:rPr>
        <w:t>****ר</w:t>
      </w:r>
      <w:r>
        <w:rPr>
          <w:rFonts w:ascii="David" w:hAnsi="David"/>
          <w:b/>
          <w:bCs/>
          <w:rtl/>
        </w:rPr>
        <w:t xml:space="preserve">חוב </w:t>
      </w:r>
      <w:r w:rsidR="003620F6">
        <w:rPr>
          <w:rFonts w:ascii="David" w:hAnsi="David" w:hint="cs"/>
          <w:b/>
          <w:bCs/>
          <w:rtl/>
        </w:rPr>
        <w:t>****</w:t>
      </w:r>
      <w:r>
        <w:rPr>
          <w:rFonts w:ascii="David" w:hAnsi="David"/>
          <w:b/>
          <w:bCs/>
          <w:rtl/>
        </w:rPr>
        <w:t xml:space="preserve"> חותמים בנוכחות העד מר </w:t>
      </w:r>
      <w:r w:rsidR="003620F6">
        <w:rPr>
          <w:rFonts w:ascii="David" w:hAnsi="David" w:hint="cs"/>
          <w:b/>
          <w:bCs/>
          <w:rtl/>
        </w:rPr>
        <w:t xml:space="preserve">מ.מ. </w:t>
      </w:r>
      <w:r>
        <w:rPr>
          <w:rFonts w:ascii="David" w:hAnsi="David"/>
          <w:b/>
          <w:bCs/>
          <w:rtl/>
        </w:rPr>
        <w:t xml:space="preserve">ת.ז.___ ומצהירים בזאת שכל אחד מאיתנו אשר ילך לעולמו ישאיר לבן זוגו </w:t>
      </w:r>
      <w:r>
        <w:rPr>
          <w:rFonts w:ascii="David" w:hAnsi="David"/>
          <w:b/>
          <w:bCs/>
          <w:u w:val="single"/>
          <w:rtl/>
        </w:rPr>
        <w:t>בלבד</w:t>
      </w:r>
      <w:r>
        <w:rPr>
          <w:rFonts w:ascii="David" w:hAnsi="David"/>
          <w:b/>
          <w:bCs/>
          <w:rtl/>
        </w:rPr>
        <w:t xml:space="preserve"> אשר בחיים את רכושנו וממוננו המשותף וכל המשתמע מכך:</w:t>
      </w:r>
    </w:p>
    <w:p w:rsidR="008B4DFE" w:rsidRDefault="008B4DFE" w:rsidP="008B4DFE">
      <w:pPr>
        <w:spacing w:before="240" w:after="240" w:line="360" w:lineRule="auto"/>
        <w:ind w:left="644"/>
        <w:jc w:val="both"/>
        <w:rPr>
          <w:rFonts w:ascii="David" w:hAnsi="David"/>
          <w:b/>
          <w:bCs/>
        </w:rPr>
      </w:pPr>
      <w:r>
        <w:rPr>
          <w:rFonts w:ascii="David" w:hAnsi="David"/>
          <w:b/>
          <w:bCs/>
          <w:rtl/>
        </w:rPr>
        <w:t xml:space="preserve">אבל במקרה ששנינו נלך לעולמנו הרי אנו מבקשים ומצהירים שכל ממוננו ורכושנו יחולק שווה בשווה לכל ילדינו לפי החוק." </w:t>
      </w:r>
    </w:p>
    <w:p w:rsidR="008B4DFE" w:rsidRDefault="008B4DFE" w:rsidP="008B4DFE">
      <w:pPr>
        <w:spacing w:before="240" w:after="240" w:line="360" w:lineRule="auto"/>
        <w:ind w:left="644"/>
        <w:jc w:val="both"/>
        <w:rPr>
          <w:rFonts w:ascii="David" w:hAnsi="David"/>
        </w:rPr>
      </w:pPr>
      <w:r>
        <w:rPr>
          <w:rFonts w:ascii="David" w:hAnsi="David"/>
          <w:rtl/>
        </w:rPr>
        <w:t xml:space="preserve">על הצוואה חתומים המנוח, המנוחה ושני עדים. </w:t>
      </w:r>
    </w:p>
    <w:p w:rsidR="008B4DFE" w:rsidRDefault="008B4DFE" w:rsidP="0080421C">
      <w:pPr>
        <w:numPr>
          <w:ilvl w:val="0"/>
          <w:numId w:val="1"/>
        </w:numPr>
        <w:spacing w:before="240" w:after="240" w:line="360" w:lineRule="auto"/>
        <w:jc w:val="both"/>
        <w:rPr>
          <w:rFonts w:ascii="David" w:hAnsi="David"/>
        </w:rPr>
      </w:pPr>
      <w:r>
        <w:rPr>
          <w:rFonts w:ascii="David" w:hAnsi="David"/>
          <w:rtl/>
        </w:rPr>
        <w:t>המנוח נפטר ביום 13.7.2017 ולבקשת המנוחה ניתן ביום 27.8.2017 צו קיום לצוואתו מיום 4.7.2003.</w:t>
      </w:r>
    </w:p>
    <w:p w:rsidR="008B4DFE" w:rsidRDefault="008B4DFE" w:rsidP="0080421C">
      <w:pPr>
        <w:numPr>
          <w:ilvl w:val="0"/>
          <w:numId w:val="1"/>
        </w:numPr>
        <w:spacing w:before="240" w:after="240" w:line="360" w:lineRule="auto"/>
        <w:jc w:val="both"/>
        <w:rPr>
          <w:rFonts w:ascii="David" w:hAnsi="David"/>
        </w:rPr>
      </w:pPr>
      <w:r>
        <w:rPr>
          <w:rFonts w:ascii="David" w:hAnsi="David"/>
          <w:rtl/>
        </w:rPr>
        <w:lastRenderedPageBreak/>
        <w:t>טרם מתן צו קיום הצוואה ביקש הרשם לענייני ירושה כי יוגשו תצהירים מטעם שני העדים לצוואה, שכן שמו של העד השני הוסף בכתב יד על גבי הצוואה המודפסת. תצהירי העדים שהוגשו לרשם הירושות צורפו לתגובת הבן שהוגשה ביום 14.2.22, לבקשה למינוי מנהל עיזבון זמני.</w:t>
      </w:r>
    </w:p>
    <w:p w:rsidR="008B4DFE" w:rsidRDefault="008B4DFE" w:rsidP="0080421C">
      <w:pPr>
        <w:numPr>
          <w:ilvl w:val="0"/>
          <w:numId w:val="1"/>
        </w:numPr>
        <w:spacing w:before="240" w:after="240" w:line="360" w:lineRule="auto"/>
        <w:jc w:val="both"/>
        <w:rPr>
          <w:rFonts w:ascii="David" w:hAnsi="David"/>
        </w:rPr>
      </w:pPr>
      <w:r>
        <w:rPr>
          <w:rFonts w:ascii="David" w:hAnsi="David"/>
          <w:rtl/>
        </w:rPr>
        <w:t>העדים חתמו על תצהיר בפני ב"כ הבן, שטיפל בבקשה לקיום הצוואה ההדדית משנת 2003. העדים הצהירו כי המנוח חתם על הצוואה מרצונו החופשי ובהיותו בדעה צלולה, כי אין להם ספק שהמנוח רצה שאשתו, המנוחה, תהיה היורשת היחידה שלו וכן ציינו כי גם המנוחה חתמה עם בעלה על אותה צוואה הדדית, לפיו אם היא תסתלק מהעולם לפני בעלה הוא יהיה היורש היחיד שלה.</w:t>
      </w:r>
    </w:p>
    <w:p w:rsidR="008B4DFE" w:rsidRDefault="008B4DFE" w:rsidP="008B4DFE">
      <w:pPr>
        <w:spacing w:before="240" w:after="240" w:line="360" w:lineRule="auto"/>
        <w:ind w:left="284"/>
        <w:jc w:val="both"/>
        <w:rPr>
          <w:rFonts w:ascii="David" w:hAnsi="David"/>
          <w:b/>
          <w:bCs/>
          <w:u w:val="single"/>
        </w:rPr>
      </w:pPr>
      <w:r>
        <w:rPr>
          <w:rFonts w:ascii="David" w:hAnsi="David"/>
          <w:b/>
          <w:bCs/>
          <w:u w:val="single"/>
          <w:rtl/>
        </w:rPr>
        <w:t>האם הצוואה היא צוואה הדדית?</w:t>
      </w:r>
    </w:p>
    <w:p w:rsidR="008B4DFE" w:rsidRDefault="008B4DFE" w:rsidP="0080421C">
      <w:pPr>
        <w:numPr>
          <w:ilvl w:val="0"/>
          <w:numId w:val="1"/>
        </w:numPr>
        <w:tabs>
          <w:tab w:val="left" w:pos="567"/>
        </w:tabs>
        <w:spacing w:before="240" w:after="240" w:line="360" w:lineRule="auto"/>
        <w:jc w:val="both"/>
        <w:rPr>
          <w:rFonts w:ascii="David" w:hAnsi="David"/>
        </w:rPr>
      </w:pPr>
      <w:r w:rsidRPr="001776D9">
        <w:rPr>
          <w:rFonts w:ascii="David" w:hAnsi="David"/>
          <w:rtl/>
        </w:rPr>
        <w:t>ב</w:t>
      </w:r>
      <w:hyperlink r:id="rId9" w:history="1">
        <w:r w:rsidRPr="001776D9">
          <w:rPr>
            <w:rStyle w:val="Hyperlink"/>
            <w:rFonts w:ascii="David" w:hAnsi="David"/>
            <w:color w:val="auto"/>
            <w:u w:val="none"/>
            <w:rtl/>
          </w:rPr>
          <w:t>עמ"ש 36694-10-16</w:t>
        </w:r>
      </w:hyperlink>
      <w:r w:rsidRPr="001776D9">
        <w:rPr>
          <w:rFonts w:ascii="David" w:hAnsi="David"/>
          <w:rtl/>
        </w:rPr>
        <w:t xml:space="preserve"> </w:t>
      </w:r>
      <w:r w:rsidRPr="001776D9">
        <w:rPr>
          <w:rFonts w:ascii="David" w:hAnsi="David"/>
          <w:b/>
          <w:bCs/>
          <w:rtl/>
        </w:rPr>
        <w:t>א' נ' ל' ואח'</w:t>
      </w:r>
      <w:r w:rsidRPr="001776D9">
        <w:rPr>
          <w:rFonts w:ascii="David" w:hAnsi="David"/>
          <w:rtl/>
        </w:rPr>
        <w:t xml:space="preserve"> (ניתן ביום 26.11.17 – פורסם במאגרים) תוארו התנאים </w:t>
      </w:r>
      <w:r>
        <w:rPr>
          <w:rFonts w:ascii="David" w:hAnsi="David"/>
          <w:rtl/>
        </w:rPr>
        <w:t>לפיהם ייקבע כי המדובר בצוואות הדדיות (סעיף 8 לפסק הדין):</w:t>
      </w:r>
    </w:p>
    <w:p w:rsidR="008B4DFE" w:rsidRDefault="008B4DFE" w:rsidP="001776D9">
      <w:pPr>
        <w:tabs>
          <w:tab w:val="left" w:pos="567"/>
          <w:tab w:val="left" w:pos="1134"/>
        </w:tabs>
        <w:spacing w:before="240" w:after="240" w:line="360" w:lineRule="auto"/>
        <w:ind w:left="1134" w:right="992"/>
        <w:jc w:val="both"/>
        <w:rPr>
          <w:rFonts w:ascii="David" w:hAnsi="David"/>
          <w:rtl/>
        </w:rPr>
      </w:pPr>
      <w:r>
        <w:rPr>
          <w:rFonts w:ascii="David" w:hAnsi="David"/>
          <w:rtl/>
        </w:rPr>
        <w:t>"</w:t>
      </w:r>
      <w:r>
        <w:rPr>
          <w:rFonts w:ascii="David" w:hAnsi="David"/>
          <w:b/>
          <w:bCs/>
          <w:rtl/>
        </w:rPr>
        <w:t>אין מחלוקת שצוואות 91 הן צוואות משותפות. הן תוצאה של החלטה משותפת של המנוח והמנוחה לעשותן. האם הן צוואות הדדיות? צוואות הן הדדיות כאשר ההסדרים שקבע אחד המצווים מבוססים על ההסדרים שקבע האחר (עיקרון ההסתמכות) ולא היו נערכים לולא הסדרים אלה. דוגמאות קלאסיות: צוואות הכוללות הסדר של "יורש אחר יורש" או צוואות המורות של הורשה לאותם יורשים, למשל, הן קרובים מצד המצווה האחד הן קרובים מצד המצווה השני.</w:t>
      </w:r>
      <w:r>
        <w:rPr>
          <w:rFonts w:ascii="David" w:hAnsi="David"/>
          <w:rtl/>
        </w:rPr>
        <w:t xml:space="preserve">" </w:t>
      </w:r>
    </w:p>
    <w:p w:rsidR="008B4DFE" w:rsidRDefault="008B4DFE" w:rsidP="0080421C">
      <w:pPr>
        <w:numPr>
          <w:ilvl w:val="0"/>
          <w:numId w:val="1"/>
        </w:numPr>
        <w:spacing w:before="240" w:after="240" w:line="360" w:lineRule="auto"/>
        <w:jc w:val="both"/>
        <w:rPr>
          <w:rFonts w:ascii="David" w:hAnsi="David"/>
        </w:rPr>
      </w:pPr>
      <w:r>
        <w:rPr>
          <w:rFonts w:ascii="David" w:hAnsi="David"/>
          <w:rtl/>
        </w:rPr>
        <w:t xml:space="preserve">עיון בנוסח הצוואה מוביל למסקנה כי הצוואה מיום 4.7.2003 היא צוואה הדדית. המדובר בצוואה אחת עליה חתומים המנוח והמנוחה, אשר חתמו עליה יחדיו בפני שני עדים, בה ציוו את רכושם זה לזה. </w:t>
      </w:r>
      <w:r>
        <w:rPr>
          <w:rFonts w:ascii="David" w:hAnsi="David"/>
          <w:b/>
          <w:bCs/>
          <w:rtl/>
        </w:rPr>
        <w:t>מכאן אני קובעת כי המדובר בצוואות הדדיות.</w:t>
      </w:r>
    </w:p>
    <w:p w:rsidR="008B4DFE" w:rsidRDefault="008B4DFE" w:rsidP="0080421C">
      <w:pPr>
        <w:numPr>
          <w:ilvl w:val="0"/>
          <w:numId w:val="1"/>
        </w:numPr>
        <w:spacing w:before="240" w:after="240" w:line="360" w:lineRule="auto"/>
        <w:jc w:val="both"/>
        <w:rPr>
          <w:rFonts w:ascii="David" w:hAnsi="David"/>
        </w:rPr>
      </w:pPr>
      <w:r>
        <w:rPr>
          <w:rFonts w:ascii="David" w:hAnsi="David"/>
          <w:rtl/>
        </w:rPr>
        <w:t>אין מחלוקת כי הצוואה נערכה לפני תיקון 12 לחוק הירושה ועל כן סעיף 8א לחוק הירושה אינו חל עליה.</w:t>
      </w:r>
    </w:p>
    <w:p w:rsidR="008B4DFE" w:rsidRDefault="008B4DFE" w:rsidP="0080421C">
      <w:pPr>
        <w:numPr>
          <w:ilvl w:val="0"/>
          <w:numId w:val="1"/>
        </w:numPr>
        <w:spacing w:before="240" w:after="240" w:line="360" w:lineRule="auto"/>
        <w:jc w:val="both"/>
        <w:rPr>
          <w:rFonts w:ascii="David" w:hAnsi="David"/>
        </w:rPr>
      </w:pPr>
      <w:r>
        <w:rPr>
          <w:rFonts w:ascii="David" w:hAnsi="David"/>
          <w:rtl/>
        </w:rPr>
        <w:t>על מנת להכריע, האם למרות שתיקון 12 אינו חל על הצוואה ההדדית הייתה המנוחה מנועה לשנות את צוואתה לאחר פטירת המנוח, יש לבחון האם ניתן ללמוד מהוראות הצוואה, נסיבות חתימתה או הנסיבות בכללותן כי הצדדים התחייבו לא לשנות את הצוואה, או שיש מקום להורות על מניעות מכוח עיקרון תום הלב.</w:t>
      </w:r>
    </w:p>
    <w:p w:rsidR="008B4DFE" w:rsidRDefault="008B4DFE" w:rsidP="0080421C">
      <w:pPr>
        <w:numPr>
          <w:ilvl w:val="0"/>
          <w:numId w:val="1"/>
        </w:numPr>
        <w:spacing w:before="240" w:after="240" w:line="360" w:lineRule="auto"/>
        <w:jc w:val="both"/>
        <w:rPr>
          <w:rFonts w:ascii="David" w:hAnsi="David"/>
        </w:rPr>
      </w:pPr>
      <w:r>
        <w:rPr>
          <w:rFonts w:ascii="David" w:hAnsi="David"/>
          <w:rtl/>
        </w:rPr>
        <w:lastRenderedPageBreak/>
        <w:t xml:space="preserve">בבע"מ 10807/03 </w:t>
      </w:r>
      <w:r>
        <w:rPr>
          <w:rFonts w:ascii="David" w:hAnsi="David"/>
          <w:b/>
          <w:bCs/>
          <w:rtl/>
        </w:rPr>
        <w:t>זמיר נ. גמליאל</w:t>
      </w:r>
      <w:r>
        <w:rPr>
          <w:rFonts w:ascii="David" w:hAnsi="David"/>
          <w:rtl/>
        </w:rPr>
        <w:t xml:space="preserve"> פד"י ס"ב (1) 601, דן בית המשפט בהבדל בין הוראת "יורש אחר יורש" לזה של "יורש במקום יורש" וההשלכות של הסדרים אלו על יכולת מצווה לשנות צוואה הדדית שנערכה טרם תיקון 12. </w:t>
      </w:r>
    </w:p>
    <w:p w:rsidR="008B4DFE" w:rsidRDefault="008B4DFE" w:rsidP="0080421C">
      <w:pPr>
        <w:numPr>
          <w:ilvl w:val="0"/>
          <w:numId w:val="1"/>
        </w:numPr>
        <w:spacing w:before="240" w:after="240" w:line="360" w:lineRule="auto"/>
        <w:jc w:val="both"/>
        <w:rPr>
          <w:rFonts w:ascii="David" w:hAnsi="David"/>
        </w:rPr>
      </w:pPr>
      <w:r>
        <w:rPr>
          <w:rFonts w:ascii="David" w:hAnsi="David"/>
          <w:rtl/>
        </w:rPr>
        <w:t xml:space="preserve">סעיף 41 (א) לחוק הירושה עוסק בהוראת </w:t>
      </w:r>
      <w:r>
        <w:rPr>
          <w:rFonts w:ascii="David" w:hAnsi="David"/>
          <w:b/>
          <w:bCs/>
          <w:rtl/>
        </w:rPr>
        <w:t>"יורש במקום יורש":</w:t>
      </w:r>
    </w:p>
    <w:p w:rsidR="008B4DFE" w:rsidRDefault="008B4DFE" w:rsidP="008B4DFE">
      <w:pPr>
        <w:spacing w:before="240" w:after="240" w:line="360" w:lineRule="auto"/>
        <w:ind w:left="644"/>
        <w:jc w:val="both"/>
        <w:rPr>
          <w:rFonts w:ascii="David" w:hAnsi="David"/>
          <w:b/>
          <w:bCs/>
          <w:rtl/>
        </w:rPr>
      </w:pPr>
      <w:r>
        <w:rPr>
          <w:rFonts w:ascii="David" w:hAnsi="David"/>
          <w:b/>
          <w:bCs/>
          <w:rtl/>
        </w:rPr>
        <w:t xml:space="preserve"> "המצווה רשאי לצוות לשניים על מנת שיזכה השני אם לא זכה הראשון; השני יזכה אם מת הראשון לפני המצווה או שנמצא פסול לרשת או שהסתלק מן המגיע לו שלא לטובת בן-זוגו, ילדו או אחיו של המוריש".</w:t>
      </w:r>
    </w:p>
    <w:p w:rsidR="008B4DFE" w:rsidRDefault="008B4DFE" w:rsidP="0080421C">
      <w:pPr>
        <w:numPr>
          <w:ilvl w:val="0"/>
          <w:numId w:val="1"/>
        </w:numPr>
        <w:spacing w:before="240" w:after="240" w:line="360" w:lineRule="auto"/>
        <w:jc w:val="both"/>
        <w:rPr>
          <w:rFonts w:ascii="David" w:hAnsi="David"/>
          <w:rtl/>
        </w:rPr>
      </w:pPr>
      <w:r>
        <w:rPr>
          <w:rFonts w:ascii="David" w:hAnsi="David"/>
          <w:rtl/>
        </w:rPr>
        <w:t>סעיפים 42(א) ו-42(ב) לחוק הירושה עוסקים בהוראת "</w:t>
      </w:r>
      <w:r>
        <w:rPr>
          <w:rFonts w:ascii="David" w:hAnsi="David"/>
          <w:b/>
          <w:bCs/>
          <w:rtl/>
        </w:rPr>
        <w:t>יורש אחר יורש"</w:t>
      </w:r>
      <w:r>
        <w:rPr>
          <w:rFonts w:ascii="David" w:hAnsi="David"/>
          <w:rtl/>
        </w:rPr>
        <w:t xml:space="preserve"> והשלכותיה:</w:t>
      </w:r>
    </w:p>
    <w:p w:rsidR="008B4DFE" w:rsidRDefault="008B4DFE" w:rsidP="008B4DFE">
      <w:pPr>
        <w:spacing w:before="240" w:after="240" w:line="360" w:lineRule="auto"/>
        <w:ind w:left="644"/>
        <w:jc w:val="both"/>
        <w:rPr>
          <w:rFonts w:ascii="David" w:hAnsi="David"/>
          <w:b/>
          <w:bCs/>
          <w:rtl/>
        </w:rPr>
      </w:pPr>
      <w:r>
        <w:rPr>
          <w:rFonts w:ascii="David" w:hAnsi="David"/>
          <w:b/>
          <w:bCs/>
          <w:rtl/>
        </w:rPr>
        <w:t>"(א)  המצווה רשאי לצוות לשניים על מנת שיזכה השני אחרי שזכה הראשון; השני יזכה במות הראשון או בהתקיים התנאי או בהגיע המועד שנקבע לכך בצוואה, הכל לפי המוקדם יותר.</w:t>
      </w:r>
    </w:p>
    <w:p w:rsidR="008B4DFE" w:rsidRDefault="008B4DFE" w:rsidP="008B4DFE">
      <w:pPr>
        <w:spacing w:before="240" w:after="240" w:line="360" w:lineRule="auto"/>
        <w:ind w:left="644"/>
        <w:jc w:val="both"/>
        <w:rPr>
          <w:rFonts w:ascii="David" w:hAnsi="David"/>
          <w:b/>
          <w:bCs/>
          <w:rtl/>
        </w:rPr>
      </w:pPr>
      <w:r>
        <w:rPr>
          <w:rFonts w:ascii="David" w:hAnsi="David"/>
          <w:b/>
          <w:bCs/>
          <w:rtl/>
        </w:rPr>
        <w:t>(ב)  הראשון רשאי לעשות במה שקיבל כבתוך שלו, והשני לא יזכה אלא במה ששייר הראשון; אולם אין הראשון יכול לגרוע מזכותו של השני על ידי צוואה".</w:t>
      </w:r>
    </w:p>
    <w:p w:rsidR="008B4DFE" w:rsidRDefault="008B4DFE" w:rsidP="0080421C">
      <w:pPr>
        <w:numPr>
          <w:ilvl w:val="0"/>
          <w:numId w:val="1"/>
        </w:numPr>
        <w:spacing w:before="240" w:after="240" w:line="360" w:lineRule="auto"/>
        <w:jc w:val="both"/>
        <w:rPr>
          <w:rFonts w:ascii="David" w:hAnsi="David"/>
        </w:rPr>
      </w:pPr>
      <w:r>
        <w:rPr>
          <w:rFonts w:ascii="David" w:hAnsi="David"/>
          <w:rtl/>
        </w:rPr>
        <w:t>בפרשת זמיר הבהירה השופטת נאור את ההבדל בין הוראות אלו:</w:t>
      </w:r>
    </w:p>
    <w:p w:rsidR="008B4DFE" w:rsidRDefault="008B4DFE" w:rsidP="008B4DFE">
      <w:pPr>
        <w:pStyle w:val="ruller4"/>
        <w:spacing w:before="240" w:after="240"/>
        <w:ind w:left="644"/>
        <w:rPr>
          <w:rFonts w:ascii="David" w:hAnsi="David" w:cs="David"/>
          <w:b/>
          <w:bCs/>
          <w:sz w:val="24"/>
          <w:szCs w:val="24"/>
          <w:rtl/>
        </w:rPr>
      </w:pPr>
      <w:r w:rsidRPr="001776D9">
        <w:rPr>
          <w:rFonts w:ascii="David" w:hAnsi="David" w:cs="David"/>
          <w:b/>
          <w:bCs/>
          <w:sz w:val="24"/>
          <w:szCs w:val="24"/>
          <w:rtl/>
        </w:rPr>
        <w:t>עיון בשני ההסדרים מראה כי ההבדל ביניהם הוא גדול. בהסדר של "</w:t>
      </w:r>
      <w:r w:rsidRPr="001776D9">
        <w:rPr>
          <w:rFonts w:ascii="David" w:hAnsi="David" w:cs="David"/>
          <w:b/>
          <w:bCs/>
          <w:spacing w:val="0"/>
          <w:sz w:val="24"/>
          <w:szCs w:val="24"/>
          <w:rtl/>
        </w:rPr>
        <w:t>יורש אחר יורש</w:t>
      </w:r>
      <w:r w:rsidRPr="001776D9">
        <w:rPr>
          <w:rFonts w:ascii="David" w:hAnsi="David" w:cs="David"/>
          <w:b/>
          <w:bCs/>
          <w:sz w:val="24"/>
          <w:szCs w:val="24"/>
          <w:rtl/>
        </w:rPr>
        <w:t xml:space="preserve">", הקבוע </w:t>
      </w:r>
      <w:hyperlink r:id="rId10" w:history="1">
        <w:r w:rsidRPr="001776D9">
          <w:rPr>
            <w:rStyle w:val="Hyperlink"/>
            <w:rFonts w:ascii="David" w:hAnsi="David" w:cs="David"/>
            <w:b/>
            <w:bCs/>
            <w:color w:val="auto"/>
            <w:sz w:val="24"/>
            <w:szCs w:val="24"/>
            <w:rtl/>
          </w:rPr>
          <w:t>בסעיף 42</w:t>
        </w:r>
      </w:hyperlink>
      <w:r w:rsidRPr="001776D9">
        <w:rPr>
          <w:rFonts w:ascii="David" w:hAnsi="David" w:cs="David"/>
          <w:b/>
          <w:bCs/>
          <w:sz w:val="24"/>
          <w:szCs w:val="24"/>
          <w:rtl/>
        </w:rPr>
        <w:t xml:space="preserve"> לחוק, המוריש מורה כי במותו, יירש אותו יורש א'; וכן מורה המוריש כי לאחר מותו של יורש א', יירש את העזבון יורש ב'. עד להגעת הרכוש ליורש ב', ישנה, בלשונו של הנשיא ברק בעניין </w:t>
      </w:r>
      <w:r w:rsidRPr="001776D9">
        <w:rPr>
          <w:rFonts w:ascii="David" w:hAnsi="David" w:cs="David"/>
          <w:b/>
          <w:bCs/>
          <w:spacing w:val="0"/>
          <w:sz w:val="24"/>
          <w:szCs w:val="24"/>
          <w:rtl/>
        </w:rPr>
        <w:t>מלמד</w:t>
      </w:r>
      <w:r w:rsidRPr="001776D9">
        <w:rPr>
          <w:rFonts w:ascii="David" w:hAnsi="David" w:cs="David"/>
          <w:b/>
          <w:bCs/>
          <w:sz w:val="24"/>
          <w:szCs w:val="24"/>
          <w:rtl/>
        </w:rPr>
        <w:t xml:space="preserve"> (בע' 712), "תקופת ביניים", בה יורש א' הוא הבעלים של הרכוש. יורש א', בתקופה זו, רשאי "לעשות במה שקיבל כבתוך שלו" (</w:t>
      </w:r>
      <w:hyperlink r:id="rId11" w:history="1">
        <w:r w:rsidRPr="001776D9">
          <w:rPr>
            <w:rStyle w:val="Hyperlink"/>
            <w:rFonts w:ascii="David" w:hAnsi="David" w:cs="David"/>
            <w:b/>
            <w:bCs/>
            <w:color w:val="auto"/>
            <w:sz w:val="24"/>
            <w:szCs w:val="24"/>
            <w:rtl/>
          </w:rPr>
          <w:t>סעיף 42(ב)).</w:t>
        </w:r>
      </w:hyperlink>
      <w:r w:rsidRPr="001776D9">
        <w:rPr>
          <w:rFonts w:ascii="David" w:hAnsi="David" w:cs="David"/>
          <w:b/>
          <w:bCs/>
          <w:sz w:val="24"/>
          <w:szCs w:val="24"/>
          <w:rtl/>
        </w:rPr>
        <w:t xml:space="preserve"> יורש ב' יירש רק "מה ששייר" יורש א' </w:t>
      </w:r>
      <w:r>
        <w:rPr>
          <w:rFonts w:ascii="David" w:hAnsi="David" w:cs="David"/>
          <w:b/>
          <w:bCs/>
          <w:sz w:val="24"/>
          <w:szCs w:val="24"/>
          <w:rtl/>
        </w:rPr>
        <w:t>(</w:t>
      </w:r>
      <w:r>
        <w:rPr>
          <w:rFonts w:ascii="David" w:hAnsi="David" w:cs="David"/>
          <w:b/>
          <w:bCs/>
          <w:spacing w:val="0"/>
          <w:sz w:val="24"/>
          <w:szCs w:val="24"/>
          <w:rtl/>
        </w:rPr>
        <w:t>שם</w:t>
      </w:r>
      <w:r>
        <w:rPr>
          <w:rFonts w:ascii="David" w:hAnsi="David" w:cs="David"/>
          <w:b/>
          <w:bCs/>
          <w:sz w:val="24"/>
          <w:szCs w:val="24"/>
          <w:rtl/>
        </w:rPr>
        <w:t>). ואולם, על יורש א' מוטלת מגבלה: הוא רשאי, אמנם, לנהוג ברכוש כמנהג בעלים, אך לא רשאי הוא לגרוע מחלקו של יורש ב' על ידי צוואה משלו (</w:t>
      </w:r>
      <w:r>
        <w:rPr>
          <w:rFonts w:ascii="David" w:hAnsi="David" w:cs="David"/>
          <w:b/>
          <w:bCs/>
          <w:spacing w:val="0"/>
          <w:sz w:val="24"/>
          <w:szCs w:val="24"/>
          <w:rtl/>
        </w:rPr>
        <w:t>שם</w:t>
      </w:r>
      <w:r>
        <w:rPr>
          <w:rFonts w:ascii="David" w:hAnsi="David" w:cs="David"/>
          <w:b/>
          <w:bCs/>
          <w:sz w:val="24"/>
          <w:szCs w:val="24"/>
          <w:rtl/>
        </w:rPr>
        <w:t>). אילו בענייננו היה ההסדר הקבוע בצוואת אם המבקשים הסדר של "</w:t>
      </w:r>
      <w:r>
        <w:rPr>
          <w:rFonts w:ascii="David" w:hAnsi="David" w:cs="David"/>
          <w:b/>
          <w:bCs/>
          <w:spacing w:val="0"/>
          <w:sz w:val="24"/>
          <w:szCs w:val="24"/>
          <w:rtl/>
        </w:rPr>
        <w:t>יורש אחר יורש</w:t>
      </w:r>
      <w:r>
        <w:rPr>
          <w:rFonts w:ascii="David" w:hAnsi="David" w:cs="David"/>
          <w:b/>
          <w:bCs/>
          <w:sz w:val="24"/>
          <w:szCs w:val="24"/>
          <w:rtl/>
        </w:rPr>
        <w:t xml:space="preserve">", הרי שהמנוח יכול היה, אמנם, להעביר את הרכוש שירש מאשתו הראשונה לאחר במהלך חייו, אך לא יכל הוא לפגוע </w:t>
      </w:r>
      <w:r>
        <w:rPr>
          <w:rFonts w:ascii="David" w:hAnsi="David" w:cs="David"/>
          <w:b/>
          <w:bCs/>
          <w:spacing w:val="0"/>
          <w:sz w:val="24"/>
          <w:szCs w:val="24"/>
          <w:rtl/>
        </w:rPr>
        <w:t>ביתרת</w:t>
      </w:r>
      <w:r>
        <w:rPr>
          <w:rFonts w:ascii="David" w:hAnsi="David" w:cs="David"/>
          <w:b/>
          <w:bCs/>
          <w:sz w:val="24"/>
          <w:szCs w:val="24"/>
          <w:rtl/>
        </w:rPr>
        <w:t xml:space="preserve"> רכוש זה על ידי שינוי הצוואה (ראו א' בלכר-פריגת "'עד שהמוות יפריד בינינו?' על דוקטרינת הצוואות ההדדיות במשפט הישראלי" </w:t>
      </w:r>
      <w:r>
        <w:rPr>
          <w:rFonts w:ascii="David" w:hAnsi="David" w:cs="David"/>
          <w:b/>
          <w:bCs/>
          <w:spacing w:val="0"/>
          <w:sz w:val="24"/>
          <w:szCs w:val="24"/>
          <w:rtl/>
        </w:rPr>
        <w:t>ספר שאוה (</w:t>
      </w:r>
      <w:r>
        <w:rPr>
          <w:rFonts w:ascii="David" w:hAnsi="David" w:cs="David"/>
          <w:b/>
          <w:bCs/>
          <w:sz w:val="24"/>
          <w:szCs w:val="24"/>
          <w:rtl/>
        </w:rPr>
        <w:t>א' ברק וד' פרידמן</w:t>
      </w:r>
      <w:r>
        <w:rPr>
          <w:rFonts w:ascii="David" w:hAnsi="David" w:cs="David"/>
          <w:b/>
          <w:bCs/>
          <w:spacing w:val="0"/>
          <w:sz w:val="24"/>
          <w:szCs w:val="24"/>
          <w:rtl/>
        </w:rPr>
        <w:t xml:space="preserve"> </w:t>
      </w:r>
      <w:r>
        <w:rPr>
          <w:rFonts w:ascii="David" w:hAnsi="David" w:cs="David"/>
          <w:b/>
          <w:bCs/>
          <w:sz w:val="24"/>
          <w:szCs w:val="24"/>
          <w:rtl/>
        </w:rPr>
        <w:t>עורכים, תשס"ו) 497).</w:t>
      </w:r>
    </w:p>
    <w:p w:rsidR="008B4DFE" w:rsidRDefault="008B4DFE" w:rsidP="008B4DFE">
      <w:pPr>
        <w:pStyle w:val="ruller4"/>
        <w:spacing w:before="240" w:after="240"/>
        <w:ind w:left="720"/>
        <w:rPr>
          <w:rFonts w:ascii="David" w:hAnsi="David" w:cs="David"/>
          <w:b/>
          <w:bCs/>
          <w:sz w:val="24"/>
          <w:szCs w:val="24"/>
          <w:rtl/>
        </w:rPr>
      </w:pPr>
      <w:r w:rsidRPr="001776D9">
        <w:rPr>
          <w:rFonts w:ascii="David" w:hAnsi="David" w:cs="David"/>
          <w:b/>
          <w:bCs/>
          <w:sz w:val="24"/>
          <w:szCs w:val="24"/>
          <w:rtl/>
        </w:rPr>
        <w:t>שונה ההסדר של "</w:t>
      </w:r>
      <w:r w:rsidRPr="001776D9">
        <w:rPr>
          <w:rFonts w:ascii="David" w:hAnsi="David" w:cs="David"/>
          <w:b/>
          <w:bCs/>
          <w:spacing w:val="0"/>
          <w:sz w:val="24"/>
          <w:szCs w:val="24"/>
          <w:rtl/>
        </w:rPr>
        <w:t>יורש במקום יורש</w:t>
      </w:r>
      <w:r w:rsidRPr="001776D9">
        <w:rPr>
          <w:rFonts w:ascii="David" w:hAnsi="David" w:cs="David"/>
          <w:b/>
          <w:bCs/>
          <w:sz w:val="24"/>
          <w:szCs w:val="24"/>
          <w:rtl/>
        </w:rPr>
        <w:t xml:space="preserve">", הקבוע </w:t>
      </w:r>
      <w:hyperlink r:id="rId12" w:history="1">
        <w:r w:rsidRPr="001776D9">
          <w:rPr>
            <w:rStyle w:val="Hyperlink"/>
            <w:rFonts w:ascii="David" w:hAnsi="David" w:cs="David"/>
            <w:b/>
            <w:bCs/>
            <w:color w:val="auto"/>
            <w:sz w:val="24"/>
            <w:szCs w:val="24"/>
            <w:rtl/>
          </w:rPr>
          <w:t>בסעיף 41</w:t>
        </w:r>
      </w:hyperlink>
      <w:r w:rsidRPr="001776D9">
        <w:rPr>
          <w:rFonts w:ascii="David" w:hAnsi="David" w:cs="David"/>
          <w:b/>
          <w:bCs/>
          <w:sz w:val="24"/>
          <w:szCs w:val="24"/>
          <w:rtl/>
        </w:rPr>
        <w:t xml:space="preserve"> לחוק. לפיו, המוריש מורה </w:t>
      </w:r>
      <w:r>
        <w:rPr>
          <w:rFonts w:ascii="David" w:hAnsi="David" w:cs="David"/>
          <w:b/>
          <w:bCs/>
          <w:sz w:val="24"/>
          <w:szCs w:val="24"/>
          <w:rtl/>
        </w:rPr>
        <w:t xml:space="preserve">כי רכושו יעבור ליורש א', אך אילו יורש א' לא יירש את המוריש, מהסיבות המנויות </w:t>
      </w:r>
      <w:r>
        <w:rPr>
          <w:rFonts w:ascii="David" w:hAnsi="David" w:cs="David"/>
          <w:b/>
          <w:bCs/>
          <w:sz w:val="24"/>
          <w:szCs w:val="24"/>
          <w:rtl/>
        </w:rPr>
        <w:lastRenderedPageBreak/>
        <w:t xml:space="preserve">בחוק, יבוא בנעליו יורש ב'. ייעודו של הסדר זה הוא להסדיר מקרה בו המוריש צופה כאפשרות מצב בו מי שקבע כיורשו, לא יוכל לרשת אותו. המוריש קובע חליפין ליורש הראשון אותו קבע. אין בהסדר זה "תקופת ביניים" כמו בהסדר הקודם. היה ויורש א' ירש את הרכוש, הרי שההסדר מוצה, ותם ונשלם. יורש א' יכול להעביר את הרכוש הלאה בחייו, ולהוריש אותו - בין בצוואה, בין על פי דין - למי שיחפוץ (לפירוט בענין ההסדרים השונים, ראו עניין </w:t>
      </w:r>
      <w:r>
        <w:rPr>
          <w:rFonts w:ascii="David" w:hAnsi="David" w:cs="David"/>
          <w:b/>
          <w:bCs/>
          <w:spacing w:val="0"/>
          <w:sz w:val="24"/>
          <w:szCs w:val="24"/>
          <w:rtl/>
        </w:rPr>
        <w:t>מלמד</w:t>
      </w:r>
      <w:r>
        <w:rPr>
          <w:rFonts w:ascii="David" w:hAnsi="David" w:cs="David"/>
          <w:b/>
          <w:bCs/>
          <w:sz w:val="24"/>
          <w:szCs w:val="24"/>
          <w:rtl/>
        </w:rPr>
        <w:t xml:space="preserve"> (בע' 711-712); וכן </w:t>
      </w:r>
      <w:hyperlink r:id="rId13" w:history="1">
        <w:r w:rsidRPr="001776D9">
          <w:rPr>
            <w:rStyle w:val="Hyperlink"/>
            <w:rFonts w:ascii="David" w:hAnsi="David" w:cs="David"/>
            <w:b/>
            <w:bCs/>
            <w:color w:val="auto"/>
            <w:sz w:val="24"/>
            <w:szCs w:val="24"/>
            <w:rtl/>
          </w:rPr>
          <w:t>ש' שילה פירוש לחוק הירושה</w:t>
        </w:r>
      </w:hyperlink>
      <w:r w:rsidRPr="001776D9">
        <w:rPr>
          <w:rFonts w:ascii="David" w:hAnsi="David" w:cs="David"/>
          <w:b/>
          <w:bCs/>
          <w:spacing w:val="0"/>
          <w:sz w:val="24"/>
          <w:szCs w:val="24"/>
          <w:rtl/>
        </w:rPr>
        <w:t>, תשכ"ה-1965</w:t>
      </w:r>
      <w:r w:rsidRPr="001776D9">
        <w:rPr>
          <w:rFonts w:ascii="David" w:hAnsi="David" w:cs="David"/>
          <w:b/>
          <w:bCs/>
          <w:sz w:val="24"/>
          <w:szCs w:val="24"/>
          <w:rtl/>
        </w:rPr>
        <w:t xml:space="preserve"> (התשנ"ב) 365 ואילך; ש' שוחט, </w:t>
      </w:r>
      <w:r>
        <w:rPr>
          <w:rFonts w:ascii="David" w:hAnsi="David" w:cs="David"/>
          <w:b/>
          <w:bCs/>
          <w:sz w:val="24"/>
          <w:szCs w:val="24"/>
          <w:rtl/>
        </w:rPr>
        <w:t xml:space="preserve">מנחם גולדברג ו-י' פלומין </w:t>
      </w:r>
      <w:r>
        <w:rPr>
          <w:rFonts w:ascii="David" w:hAnsi="David" w:cs="David"/>
          <w:b/>
          <w:bCs/>
          <w:spacing w:val="0"/>
          <w:sz w:val="24"/>
          <w:szCs w:val="24"/>
          <w:rtl/>
        </w:rPr>
        <w:t>דיני ירושה ועיזבון</w:t>
      </w:r>
      <w:r>
        <w:rPr>
          <w:rFonts w:ascii="David" w:hAnsi="David" w:cs="David"/>
          <w:b/>
          <w:bCs/>
          <w:sz w:val="24"/>
          <w:szCs w:val="24"/>
          <w:rtl/>
        </w:rPr>
        <w:t xml:space="preserve"> (תשס"ה) 118).</w:t>
      </w:r>
    </w:p>
    <w:p w:rsidR="008B4DFE" w:rsidRDefault="008B4DFE" w:rsidP="0080421C">
      <w:pPr>
        <w:numPr>
          <w:ilvl w:val="0"/>
          <w:numId w:val="1"/>
        </w:numPr>
        <w:overflowPunct w:val="0"/>
        <w:autoSpaceDE w:val="0"/>
        <w:autoSpaceDN w:val="0"/>
        <w:spacing w:before="240" w:after="240" w:line="360" w:lineRule="auto"/>
        <w:jc w:val="both"/>
        <w:rPr>
          <w:rFonts w:ascii="David" w:hAnsi="David"/>
          <w:rtl/>
        </w:rPr>
      </w:pPr>
      <w:r>
        <w:rPr>
          <w:rFonts w:ascii="David" w:hAnsi="David"/>
          <w:rtl/>
        </w:rPr>
        <w:t>בעניין זמיר נקבע כי ההסדר הקבוע בצוואה נשוא ההליך הוא הסדר של יורש במקום יורש, שכן המנוחה קבעה כי המנוח יירש אותה, אולם היא צפתה שייתכן והמנוח לא יהיה בחיים בעת פטירתה והורתה כי במקרה כזה יבואו ילדיהם המשותפים במקומו.</w:t>
      </w:r>
    </w:p>
    <w:p w:rsidR="008B4DFE" w:rsidRDefault="008B4DFE" w:rsidP="0080421C">
      <w:pPr>
        <w:numPr>
          <w:ilvl w:val="0"/>
          <w:numId w:val="1"/>
        </w:numPr>
        <w:overflowPunct w:val="0"/>
        <w:autoSpaceDE w:val="0"/>
        <w:autoSpaceDN w:val="0"/>
        <w:spacing w:before="240" w:after="240" w:line="360" w:lineRule="auto"/>
        <w:jc w:val="both"/>
        <w:rPr>
          <w:rFonts w:ascii="David" w:hAnsi="David"/>
        </w:rPr>
      </w:pPr>
      <w:r>
        <w:rPr>
          <w:rFonts w:ascii="David" w:hAnsi="David"/>
          <w:rtl/>
        </w:rPr>
        <w:t>השופט ויצמן התייחס בסעיף 52 לפסק דינו בעמ"ש 39317-10-22 הנ"ל להשלכה של קביעת הסדר של "יורש אחר יורש" בצוואה הדדית על יכולתו של מצווה לשנות את צוואה הדדית, שנערכה לפני תיקון 12,  מכוח עיקרון ההסתמכות:</w:t>
      </w:r>
    </w:p>
    <w:p w:rsidR="008B4DFE" w:rsidRDefault="008B4DFE" w:rsidP="008B4DFE">
      <w:pPr>
        <w:spacing w:before="240" w:after="240" w:line="360" w:lineRule="auto"/>
        <w:ind w:left="644"/>
        <w:jc w:val="both"/>
        <w:rPr>
          <w:rFonts w:ascii="David" w:hAnsi="David"/>
          <w:b/>
          <w:bCs/>
        </w:rPr>
      </w:pPr>
      <w:r>
        <w:rPr>
          <w:rFonts w:ascii="David" w:hAnsi="David"/>
          <w:b/>
          <w:bCs/>
          <w:rtl/>
        </w:rPr>
        <w:t>"52. והערה נוספת אותה ראוי להעיר בשולי הדברים - עצם קביעתו של בית המשפט העליון בעניין זמיר כי צוואות הדדיות שותקות שנערכו קודם לתיקון החוק אין בהן ללמד על הסתמכות בין של המצווים, עסקה בצוואה הדדית ובה הוראה של "יורש במקום יורש" שלפיה המצווה מורה כי רכושו יעבור ליורש א', אך אילו יורש א' לא יירש אותו, מהסיבות המנויות בחוק, יבוא בנעליו יורש ב'. ייעודו של הסדר זה הוא להסדיר מקרה בו המצווה צופה כאפשרות מצב בו מי שקבע כיורשו, לא יוכל לרשת אותו. היה ויורש א' ירש את הרכוש, הרי שההסדר מוצה - תם ונשלם. יורש א' יכול להעביר את הרכוש הלאה בחייו, ולהוריש אותו - בין בצוואה, בין על פי דין - למי שיחפוץ (ראו הוראת סע' 41 לחוק הירושה). לא כן הדברים בהוראת "יורש אחר יורש", כבעניין דנן  – או אז, מוגבל היורש הראשון בכך שאינו יכול לצוות את הרכוש שירש לאחר זולת היורש שנקבע בהוראת הצוואה המורישה. מילים אחרות צוואה הכוללת הוראת "יורש אחר יורש" מטילה מחוייבות נוספת על היורש הראשון שאינה קיימת במקרה של הוראת "יורש במקום יורש" ואפשר שהוראת צוואה הדדית שכזו יוצרת הסתמכות אף ללא צורך בהפעלת עקרון תום הלב....."</w:t>
      </w:r>
    </w:p>
    <w:p w:rsidR="008B4DFE" w:rsidRDefault="008B4DFE" w:rsidP="0080421C">
      <w:pPr>
        <w:numPr>
          <w:ilvl w:val="0"/>
          <w:numId w:val="1"/>
        </w:numPr>
        <w:spacing w:before="240" w:after="240" w:line="360" w:lineRule="auto"/>
        <w:jc w:val="both"/>
        <w:rPr>
          <w:rFonts w:ascii="David" w:hAnsi="David"/>
          <w:rtl/>
        </w:rPr>
      </w:pPr>
      <w:r>
        <w:rPr>
          <w:rFonts w:ascii="David" w:hAnsi="David"/>
          <w:rtl/>
        </w:rPr>
        <w:t xml:space="preserve">לאור ההלכה שנקבעה בפסק דין זמיר אותה פרט והדגיש השופט ויצמן בעמ"ש 39317-10-22 הנ"ל ככל וההוראות הצוואה ההדדית כוללת הוראה של "יורש אחר יורש" יש בכך בכדי להטיל </w:t>
      </w:r>
      <w:r>
        <w:rPr>
          <w:rFonts w:ascii="David" w:hAnsi="David"/>
          <w:b/>
          <w:bCs/>
          <w:rtl/>
        </w:rPr>
        <w:t>"מחוייבות נוספת על היורש הראשון שאינה קיימת במקרה של הוראת "יורש במקום יורש" ואפשר שהוראת צוואה הדדית שכזו יוצרת הסתמכות אף ללא צורך בהפעלת עקרון תום הלב"</w:t>
      </w:r>
    </w:p>
    <w:p w:rsidR="008B4DFE" w:rsidRDefault="008B4DFE" w:rsidP="008B4DFE">
      <w:pPr>
        <w:spacing w:before="240" w:after="240" w:line="360" w:lineRule="auto"/>
        <w:ind w:left="284"/>
        <w:jc w:val="both"/>
        <w:rPr>
          <w:rFonts w:ascii="David" w:hAnsi="David"/>
          <w:b/>
          <w:bCs/>
          <w:u w:val="single"/>
        </w:rPr>
      </w:pPr>
      <w:r>
        <w:rPr>
          <w:rFonts w:ascii="David" w:hAnsi="David"/>
          <w:b/>
          <w:bCs/>
          <w:u w:val="single"/>
          <w:rtl/>
        </w:rPr>
        <w:lastRenderedPageBreak/>
        <w:t>האם ההוראה בצוואה ההדדית היא הוראת "יורש במקום יורש" לפי סעיף 41 לחוק הירושה או הוראת "יורש אחר יורש" לפי סעי, 42 לחוק הירושה?</w:t>
      </w:r>
    </w:p>
    <w:p w:rsidR="008B4DFE" w:rsidRDefault="008B4DFE" w:rsidP="003620F6">
      <w:pPr>
        <w:numPr>
          <w:ilvl w:val="0"/>
          <w:numId w:val="1"/>
        </w:numPr>
        <w:spacing w:before="240" w:after="240" w:line="360" w:lineRule="auto"/>
        <w:jc w:val="both"/>
        <w:rPr>
          <w:rFonts w:ascii="David" w:hAnsi="David"/>
        </w:rPr>
      </w:pPr>
      <w:r>
        <w:rPr>
          <w:rFonts w:ascii="David" w:hAnsi="David"/>
          <w:rtl/>
        </w:rPr>
        <w:t xml:space="preserve">הבנות טוענות כי הוראות הצוואה הן הוראה של "יורש אחר יורש" ואילו הבן </w:t>
      </w:r>
      <w:r w:rsidR="003620F6">
        <w:rPr>
          <w:rFonts w:ascii="David" w:hAnsi="David" w:hint="cs"/>
          <w:rtl/>
        </w:rPr>
        <w:t>מ.</w:t>
      </w:r>
      <w:r>
        <w:rPr>
          <w:rFonts w:ascii="David" w:hAnsi="David"/>
          <w:rtl/>
        </w:rPr>
        <w:t xml:space="preserve"> טוען כי ההוראה היא של "יורש במקום יורש".</w:t>
      </w:r>
    </w:p>
    <w:p w:rsidR="008B4DFE" w:rsidRDefault="008B4DFE" w:rsidP="0080421C">
      <w:pPr>
        <w:numPr>
          <w:ilvl w:val="0"/>
          <w:numId w:val="1"/>
        </w:numPr>
        <w:spacing w:before="240" w:after="240" w:line="360" w:lineRule="auto"/>
        <w:jc w:val="both"/>
        <w:rPr>
          <w:rFonts w:ascii="David" w:hAnsi="David"/>
        </w:rPr>
      </w:pPr>
      <w:r>
        <w:rPr>
          <w:rFonts w:ascii="David" w:hAnsi="David"/>
          <w:rtl/>
        </w:rPr>
        <w:t xml:space="preserve">עיון בלשון הצוואה מעלה כי המנוחים התכוונו שניהם כי רכושם יישאר בתוך משפחתם, תחילה לבן הזוג ולאחר מכן לשלושת ילדיהם בחלקים שווים. </w:t>
      </w:r>
    </w:p>
    <w:p w:rsidR="008B4DFE" w:rsidRDefault="008B4DFE" w:rsidP="0080421C">
      <w:pPr>
        <w:numPr>
          <w:ilvl w:val="0"/>
          <w:numId w:val="1"/>
        </w:numPr>
        <w:spacing w:before="240" w:after="240" w:line="360" w:lineRule="auto"/>
        <w:jc w:val="both"/>
        <w:rPr>
          <w:rFonts w:ascii="David" w:hAnsi="David"/>
        </w:rPr>
      </w:pPr>
      <w:r>
        <w:rPr>
          <w:rFonts w:ascii="David" w:hAnsi="David"/>
          <w:rtl/>
        </w:rPr>
        <w:t>הצוואה לא נוסחה על ידי עורך דין אלא על ידי המנוחים בעצמם. חתימת העדים נערכה באופן כזה שרשם הירושה ביקש תצהירים משלימים מטעמם. מכאן שיש להיזהר בפרשנות הניתנת לצוואה ולאופן בו נוסחה.</w:t>
      </w:r>
    </w:p>
    <w:p w:rsidR="008B4DFE" w:rsidRDefault="008B4DFE" w:rsidP="0080421C">
      <w:pPr>
        <w:numPr>
          <w:ilvl w:val="0"/>
          <w:numId w:val="1"/>
        </w:numPr>
        <w:spacing w:before="240" w:after="240" w:line="360" w:lineRule="auto"/>
        <w:jc w:val="both"/>
        <w:rPr>
          <w:rFonts w:ascii="David" w:hAnsi="David"/>
        </w:rPr>
      </w:pPr>
      <w:r>
        <w:rPr>
          <w:rFonts w:ascii="David" w:hAnsi="David"/>
          <w:rtl/>
        </w:rPr>
        <w:t>אין מחלוקת בין הצדדים כי המנוחים התכוונו שבמות כל אחד מהם, בן הזוג בלבד הוא שיירש את עזבונו, הדבר כתוב במפורש בצוואה ואף העדים אישרו בצוואתם כי זה היה רצון הצדדים.</w:t>
      </w:r>
    </w:p>
    <w:p w:rsidR="008B4DFE" w:rsidRDefault="008B4DFE" w:rsidP="0080421C">
      <w:pPr>
        <w:numPr>
          <w:ilvl w:val="0"/>
          <w:numId w:val="1"/>
        </w:numPr>
        <w:spacing w:before="240" w:after="240" w:line="360" w:lineRule="auto"/>
        <w:jc w:val="both"/>
        <w:rPr>
          <w:rFonts w:ascii="David" w:hAnsi="David"/>
        </w:rPr>
      </w:pPr>
      <w:r>
        <w:rPr>
          <w:rFonts w:ascii="David" w:hAnsi="David"/>
          <w:rtl/>
        </w:rPr>
        <w:t xml:space="preserve">הצדדים חלוקים בשאלה כיצד יש לפרש את המילים </w:t>
      </w:r>
      <w:r>
        <w:rPr>
          <w:rFonts w:ascii="David" w:hAnsi="David"/>
          <w:b/>
          <w:bCs/>
          <w:rtl/>
        </w:rPr>
        <w:t>"אבל במקרה ששנינו נלך לעולמנו הרי אנו מבקשים ומצהירים שכל ממומנו ורכושנו יחולק שווה בשווה לכל ילדנו לפי החוק"</w:t>
      </w:r>
      <w:r>
        <w:rPr>
          <w:rFonts w:ascii="David" w:hAnsi="David"/>
          <w:rtl/>
        </w:rPr>
        <w:t>, האם התכוונו הצדדים כי רק במקרה בו ילכו שניהם לעולמם יחדיו שלושת ילדיהם יירשו אותם או כהצעת ב"כ הבן בדיון מיום 17.12.2023 במקרה בו ילכו לעולמם אחד אחרי השני (יורש במקום יורש).</w:t>
      </w:r>
    </w:p>
    <w:p w:rsidR="008B4DFE" w:rsidRDefault="008B4DFE" w:rsidP="0080421C">
      <w:pPr>
        <w:numPr>
          <w:ilvl w:val="0"/>
          <w:numId w:val="1"/>
        </w:numPr>
        <w:spacing w:before="240" w:after="240" w:line="360" w:lineRule="auto"/>
        <w:jc w:val="both"/>
        <w:rPr>
          <w:rFonts w:ascii="David" w:hAnsi="David"/>
        </w:rPr>
      </w:pPr>
      <w:r>
        <w:rPr>
          <w:rFonts w:ascii="David" w:hAnsi="David"/>
          <w:rtl/>
        </w:rPr>
        <w:t>האם המנוחים צפו אפשרות בה בן/בת הזוג לא יוכלו לרשת אותם וקבעו יורש אחר במקומו, או שמא כוונת המנוחים הייתה להוריש אחד לשני ולאחר שהשני ילך גם הוא לעולמו יעבור עיזבונם לילדיהם (יורש אחר יורש).</w:t>
      </w:r>
    </w:p>
    <w:p w:rsidR="008B4DFE" w:rsidRDefault="008B4DFE" w:rsidP="0080421C">
      <w:pPr>
        <w:numPr>
          <w:ilvl w:val="0"/>
          <w:numId w:val="1"/>
        </w:numPr>
        <w:spacing w:before="240" w:after="240" w:line="360" w:lineRule="auto"/>
        <w:jc w:val="both"/>
        <w:rPr>
          <w:rFonts w:ascii="David" w:hAnsi="David"/>
        </w:rPr>
      </w:pPr>
      <w:r>
        <w:rPr>
          <w:rFonts w:ascii="David" w:hAnsi="David"/>
          <w:rtl/>
        </w:rPr>
        <w:t>בעמ"ש 45085-1223 מ.ע נ. נ.ע. ואח' (ניתן ביום 16.4.24 פורסם במאגרים) הבהיר בית המשפט המחוזי את הדרך בה יש לפרש צוואות:</w:t>
      </w:r>
    </w:p>
    <w:p w:rsidR="008B4DFE" w:rsidRDefault="008B4DFE" w:rsidP="008B4DFE">
      <w:pPr>
        <w:pStyle w:val="ae"/>
        <w:spacing w:after="120" w:line="360" w:lineRule="auto"/>
        <w:ind w:left="644"/>
        <w:jc w:val="both"/>
        <w:rPr>
          <w:rFonts w:ascii="David" w:hAnsi="David" w:cs="David"/>
          <w:b/>
          <w:bCs/>
        </w:rPr>
      </w:pPr>
      <w:r>
        <w:rPr>
          <w:rFonts w:ascii="David" w:hAnsi="David" w:cs="David"/>
          <w:b/>
          <w:bCs/>
          <w:rtl/>
        </w:rPr>
        <w:t>22. סעיף 54 לחוק הירושה הוא המקנה לבית משפט את הסמכות לפרש צוואה וגם מתווה את הדרך לעשות כן:</w:t>
      </w:r>
    </w:p>
    <w:p w:rsidR="008B4DFE" w:rsidRDefault="008B4DFE" w:rsidP="008B4DFE">
      <w:pPr>
        <w:spacing w:after="120" w:line="360" w:lineRule="auto"/>
        <w:ind w:left="1134" w:right="1134"/>
        <w:rPr>
          <w:rFonts w:ascii="David" w:hAnsi="David"/>
          <w:b/>
          <w:bCs/>
          <w:rtl/>
        </w:rPr>
      </w:pPr>
      <w:r>
        <w:rPr>
          <w:rFonts w:ascii="David" w:hAnsi="David"/>
          <w:b/>
          <w:bCs/>
          <w:rtl/>
        </w:rPr>
        <w:t xml:space="preserve">(א) מפרשים צוואה </w:t>
      </w:r>
      <w:r>
        <w:rPr>
          <w:rFonts w:ascii="David" w:hAnsi="David"/>
          <w:b/>
          <w:bCs/>
          <w:u w:val="single"/>
          <w:rtl/>
        </w:rPr>
        <w:t>לפי אומד דעתו של המצווה</w:t>
      </w:r>
      <w:r>
        <w:rPr>
          <w:rFonts w:ascii="David" w:hAnsi="David"/>
          <w:b/>
          <w:bCs/>
          <w:rtl/>
        </w:rPr>
        <w:t xml:space="preserve"> כפי שהיא משתמעת מתוך הצוואה, ובמידה שאינה משתמעת מתוכה – כפי שהיא משתמעת מתוך הנסיבות. </w:t>
      </w:r>
    </w:p>
    <w:p w:rsidR="008B4DFE" w:rsidRDefault="008B4DFE" w:rsidP="008B4DFE">
      <w:pPr>
        <w:spacing w:after="120" w:line="360" w:lineRule="auto"/>
        <w:ind w:left="1134" w:right="1134"/>
        <w:rPr>
          <w:rFonts w:ascii="David" w:hAnsi="David"/>
          <w:b/>
          <w:bCs/>
        </w:rPr>
      </w:pPr>
      <w:r>
        <w:rPr>
          <w:rFonts w:ascii="David" w:hAnsi="David"/>
          <w:b/>
          <w:bCs/>
          <w:rtl/>
        </w:rPr>
        <w:lastRenderedPageBreak/>
        <w:t>(ב) צוואה הניתנת לפירושים שונים</w:t>
      </w:r>
      <w:r>
        <w:rPr>
          <w:rFonts w:ascii="David" w:hAnsi="David"/>
          <w:b/>
          <w:bCs/>
          <w:u w:val="single"/>
          <w:rtl/>
        </w:rPr>
        <w:t>, הפירוש המקיים אותה עדיף</w:t>
      </w:r>
      <w:r>
        <w:rPr>
          <w:rFonts w:ascii="David" w:hAnsi="David"/>
          <w:b/>
          <w:bCs/>
          <w:rtl/>
        </w:rPr>
        <w:t xml:space="preserve"> על פירוש שלפיו היא בטלה".</w:t>
      </w:r>
    </w:p>
    <w:p w:rsidR="008B4DFE" w:rsidRDefault="008B4DFE" w:rsidP="008B4DFE">
      <w:pPr>
        <w:pStyle w:val="ae"/>
        <w:spacing w:after="120" w:line="360" w:lineRule="auto"/>
        <w:jc w:val="both"/>
        <w:rPr>
          <w:rFonts w:ascii="David" w:hAnsi="David" w:cs="David"/>
          <w:b/>
          <w:bCs/>
          <w:rtl/>
        </w:rPr>
      </w:pPr>
      <w:r>
        <w:rPr>
          <w:rFonts w:ascii="David" w:hAnsi="David" w:cs="David"/>
          <w:b/>
          <w:bCs/>
          <w:rtl/>
        </w:rPr>
        <w:t xml:space="preserve">23. בעת פרשנות צוואה, על בית המשפט לפרש הצוואה </w:t>
      </w:r>
      <w:r>
        <w:rPr>
          <w:rFonts w:ascii="David" w:hAnsi="David" w:cs="David"/>
          <w:b/>
          <w:bCs/>
          <w:u w:val="single"/>
          <w:rtl/>
        </w:rPr>
        <w:t>באופן שיגשים את רצון המצווה</w:t>
      </w:r>
      <w:r>
        <w:rPr>
          <w:rFonts w:ascii="David" w:hAnsi="David" w:cs="David"/>
          <w:b/>
          <w:bCs/>
          <w:rtl/>
        </w:rPr>
        <w:t xml:space="preserve">. זהו רעיון העל המנחה את בית המשפט – </w:t>
      </w:r>
      <w:r>
        <w:rPr>
          <w:rFonts w:ascii="David" w:hAnsi="David" w:cs="David"/>
          <w:b/>
          <w:bCs/>
          <w:u w:val="single"/>
          <w:rtl/>
        </w:rPr>
        <w:t>מתן תוקף לרצון המצווה</w:t>
      </w:r>
      <w:r>
        <w:rPr>
          <w:rFonts w:ascii="David" w:hAnsi="David" w:cs="David"/>
          <w:b/>
          <w:bCs/>
          <w:rtl/>
        </w:rPr>
        <w:t xml:space="preserve"> שזכותו לשלוט על חלוקת נכסיו לאחר פטירתו. (ראו ע"א 122/86 שפיר נ' קליבנסקי). </w:t>
      </w:r>
    </w:p>
    <w:p w:rsidR="008B4DFE" w:rsidRDefault="008B4DFE" w:rsidP="008B4DFE">
      <w:pPr>
        <w:pStyle w:val="ae"/>
        <w:spacing w:after="120" w:line="360" w:lineRule="auto"/>
        <w:jc w:val="both"/>
        <w:rPr>
          <w:rFonts w:ascii="David" w:hAnsi="David" w:cs="David"/>
          <w:b/>
          <w:bCs/>
          <w:rtl/>
        </w:rPr>
      </w:pPr>
      <w:r>
        <w:rPr>
          <w:rFonts w:ascii="David" w:hAnsi="David" w:cs="David"/>
          <w:b/>
          <w:bCs/>
          <w:rtl/>
        </w:rPr>
        <w:t xml:space="preserve">יישום רצון המצווה, הוא "עיקר העיקרים" ו"בריח התיכון" של עבודת בית המשפט בבואו לפרש צוואה. ראו ע"א 1182/90 שחם נ' רוטמן ואח'). </w:t>
      </w:r>
    </w:p>
    <w:p w:rsidR="008B4DFE" w:rsidRDefault="008B4DFE" w:rsidP="0080421C">
      <w:pPr>
        <w:numPr>
          <w:ilvl w:val="0"/>
          <w:numId w:val="1"/>
        </w:numPr>
        <w:spacing w:before="240" w:after="240" w:line="360" w:lineRule="auto"/>
        <w:jc w:val="both"/>
        <w:rPr>
          <w:rFonts w:ascii="David" w:hAnsi="David"/>
          <w:rtl/>
        </w:rPr>
      </w:pPr>
      <w:r>
        <w:rPr>
          <w:rFonts w:ascii="David" w:hAnsi="David"/>
          <w:rtl/>
        </w:rPr>
        <w:t>סבורני כי קריאת הצוואה כולה כמכלול, למרות שהניסוח אינו ניסוח מקצועי, מוביל למסקנה שהמנוחים ביקשו לדאוג לכך שכל רכושם ועיזבונם יישאר בתוך משפחתם. תחילה דאגו זה לזה ולאחר מות שניהם, בין אם ילכו לעולמם יחדיו ובין אם אחד אחרי השני יעבור רכושם לילדיהם בחלקים שווים.</w:t>
      </w:r>
    </w:p>
    <w:p w:rsidR="008B4DFE" w:rsidRDefault="008B4DFE" w:rsidP="0080421C">
      <w:pPr>
        <w:numPr>
          <w:ilvl w:val="0"/>
          <w:numId w:val="1"/>
        </w:numPr>
        <w:spacing w:before="240" w:after="240" w:line="360" w:lineRule="auto"/>
        <w:jc w:val="both"/>
        <w:rPr>
          <w:rFonts w:ascii="David" w:hAnsi="David"/>
        </w:rPr>
      </w:pPr>
      <w:r>
        <w:rPr>
          <w:rFonts w:ascii="David" w:hAnsi="David"/>
          <w:rtl/>
        </w:rPr>
        <w:t xml:space="preserve">על כוונת הצדדים ניתן גם ללמוד מהצוואה שערכה מנוחה בשנת 2018, היא למעשה ביקשה לחלק את רכושה בין שלושת ילדיה בדיוק בהתאם לצוואה שערכה במשותף עם בעלה בשנת 2003. </w:t>
      </w:r>
    </w:p>
    <w:p w:rsidR="008B4DFE" w:rsidRDefault="008B4DFE" w:rsidP="0080421C">
      <w:pPr>
        <w:numPr>
          <w:ilvl w:val="0"/>
          <w:numId w:val="1"/>
        </w:numPr>
        <w:spacing w:before="240" w:after="240" w:line="360" w:lineRule="auto"/>
        <w:jc w:val="both"/>
        <w:rPr>
          <w:rFonts w:ascii="David" w:hAnsi="David"/>
          <w:b/>
          <w:bCs/>
        </w:rPr>
      </w:pPr>
      <w:r>
        <w:rPr>
          <w:rFonts w:ascii="David" w:hAnsi="David"/>
          <w:b/>
          <w:bCs/>
          <w:rtl/>
        </w:rPr>
        <w:t>מכאן אני קובעת כי ההוראה שנקבעה בצוואה ההדדית היא הוראה של יורש אחר יורש. פרשנות זו היא פרשנות המגשימה את רצון המנוחים.</w:t>
      </w:r>
    </w:p>
    <w:p w:rsidR="008B4DFE" w:rsidRDefault="008B4DFE" w:rsidP="0080421C">
      <w:pPr>
        <w:numPr>
          <w:ilvl w:val="0"/>
          <w:numId w:val="1"/>
        </w:numPr>
        <w:spacing w:before="240" w:after="240" w:line="360" w:lineRule="auto"/>
        <w:jc w:val="both"/>
        <w:rPr>
          <w:rFonts w:ascii="David" w:hAnsi="David"/>
        </w:rPr>
      </w:pPr>
      <w:r>
        <w:rPr>
          <w:rFonts w:ascii="David" w:hAnsi="David"/>
          <w:rtl/>
        </w:rPr>
        <w:t xml:space="preserve">כוונת המנוחים הייתה לדאוג לכך שבסופו של דבר לאחר מות שניהם, ילדיהם יזכו בכל עיזבונם בחלקים שווים ביניהם. הן מנוסח הצוואה והן מתצהירי העדים עולה כי המנוחים האמינו זה בזה, דאגו זה לזה וסמכו זה על זה כי ידאגו לילדיהם המשותפים ועל כן ניסחו את הצוואה כצוואה הדדית שבה הוראת "יורש אחר יורש". מכאן כי הצוואה ההדדית יוצרת הסתמכות של המנוחים זה על זה, ומניעות מלפעול בניגוד לכוונת בן זוגם. </w:t>
      </w:r>
    </w:p>
    <w:p w:rsidR="008B4DFE" w:rsidRDefault="008B4DFE" w:rsidP="0080421C">
      <w:pPr>
        <w:numPr>
          <w:ilvl w:val="0"/>
          <w:numId w:val="1"/>
        </w:numPr>
        <w:spacing w:before="240" w:after="240" w:line="360" w:lineRule="auto"/>
        <w:jc w:val="both"/>
        <w:rPr>
          <w:rFonts w:ascii="David" w:hAnsi="David"/>
        </w:rPr>
      </w:pPr>
      <w:r>
        <w:rPr>
          <w:rFonts w:ascii="David" w:hAnsi="David"/>
          <w:rtl/>
        </w:rPr>
        <w:t>אשר על כן אני קובעת כי הצוואה ההדדית משנת 2003 שבה הוראות "יורש אחר יורש" ואשר עליה חתמו המנוחים בדעה צלולה וברצון חופשי מונעת מהמנוחה לשנות את ההתחייבות שנטלה על עצמה ומונעת ממנה להוריש את עיזבונה בדרך שאינה חלוקה שווה של עיזבונה והעיזבון שירשה מבעלה המנוח בין שלושת ילדיהם בחלקים שווים.</w:t>
      </w:r>
    </w:p>
    <w:p w:rsidR="008B4DFE" w:rsidRDefault="008B4DFE" w:rsidP="0080421C">
      <w:pPr>
        <w:numPr>
          <w:ilvl w:val="0"/>
          <w:numId w:val="1"/>
        </w:numPr>
        <w:spacing w:before="240" w:after="240" w:line="360" w:lineRule="auto"/>
        <w:jc w:val="both"/>
        <w:rPr>
          <w:rFonts w:ascii="David" w:hAnsi="David"/>
        </w:rPr>
      </w:pPr>
      <w:r>
        <w:rPr>
          <w:rFonts w:ascii="David" w:hAnsi="David"/>
          <w:rtl/>
        </w:rPr>
        <w:t>טענת הבן כי הצוואה משנת 2018 עונה על מחויבות זו, דינה להידחות. אמנם המנוחה ציוותה את כל כספה בחלקים שווים, אך ייחדה דירה לכל אחד מילדיה מבלי שנערכה בדיקה בדבר שווי הדירות ואיזון בין הילדים. מכאן שהעיזבון לא חולק בחלקים שווים בין הילדים ודין צוואה זו להתבטל.</w:t>
      </w:r>
    </w:p>
    <w:p w:rsidR="008B4DFE" w:rsidRDefault="008B4DFE" w:rsidP="0080421C">
      <w:pPr>
        <w:numPr>
          <w:ilvl w:val="0"/>
          <w:numId w:val="1"/>
        </w:numPr>
        <w:spacing w:before="240" w:after="240" w:line="360" w:lineRule="auto"/>
        <w:jc w:val="both"/>
        <w:rPr>
          <w:rFonts w:ascii="David" w:hAnsi="David"/>
          <w:b/>
          <w:bCs/>
        </w:rPr>
      </w:pPr>
      <w:r>
        <w:rPr>
          <w:rFonts w:ascii="David" w:hAnsi="David"/>
          <w:b/>
          <w:bCs/>
          <w:rtl/>
        </w:rPr>
        <w:lastRenderedPageBreak/>
        <w:t>אשר על כן אני קובעת כי המנוחה לא רשאית הייתה לערוך את הצוואה בשנת 2018 בהיותה סותרת את הצוואה ההדדית המחייבת שערכה עם בעלה המנוח בשנת 2003 ועל כן דין הצוואה משנת 2018 להתבטל.</w:t>
      </w:r>
    </w:p>
    <w:p w:rsidR="008B4DFE" w:rsidRDefault="008B4DFE" w:rsidP="0080421C">
      <w:pPr>
        <w:numPr>
          <w:ilvl w:val="0"/>
          <w:numId w:val="1"/>
        </w:numPr>
        <w:spacing w:before="240" w:after="240" w:line="360" w:lineRule="auto"/>
        <w:jc w:val="both"/>
        <w:rPr>
          <w:rFonts w:ascii="David" w:hAnsi="David"/>
        </w:rPr>
      </w:pPr>
      <w:r>
        <w:rPr>
          <w:rFonts w:ascii="David" w:hAnsi="David"/>
          <w:rtl/>
        </w:rPr>
        <w:t>בנסיבות העניין ונוכח ההסכמה הדיונית אין חיוב בהוצאות.</w:t>
      </w:r>
    </w:p>
    <w:p w:rsidR="008B4DFE" w:rsidRDefault="008B4DFE" w:rsidP="0080421C">
      <w:pPr>
        <w:numPr>
          <w:ilvl w:val="0"/>
          <w:numId w:val="1"/>
        </w:numPr>
        <w:spacing w:before="240" w:after="240" w:line="360" w:lineRule="auto"/>
        <w:jc w:val="both"/>
        <w:rPr>
          <w:rFonts w:ascii="David" w:hAnsi="David"/>
          <w:b/>
          <w:bCs/>
        </w:rPr>
      </w:pPr>
      <w:r>
        <w:rPr>
          <w:rFonts w:ascii="David" w:hAnsi="David"/>
          <w:b/>
          <w:bCs/>
          <w:rtl/>
        </w:rPr>
        <w:t>נוכח החלטה זו ב"כ הצדדים יקיימו ביניהם דיון מקדמי נוסף ובו ידונו באפשרויות לקידום ההליך כולל פנייה להליך של גישור. דיווח יוגש בתוך 30 יום.</w:t>
      </w:r>
    </w:p>
    <w:p w:rsidR="008B4DFE" w:rsidRDefault="008B4DFE" w:rsidP="0080421C">
      <w:pPr>
        <w:spacing w:before="240" w:after="240" w:line="360" w:lineRule="auto"/>
        <w:ind w:left="284" w:firstLine="436"/>
        <w:jc w:val="both"/>
        <w:rPr>
          <w:rFonts w:ascii="David" w:hAnsi="David"/>
          <w:b/>
          <w:bCs/>
          <w:u w:val="single"/>
        </w:rPr>
      </w:pPr>
      <w:r>
        <w:rPr>
          <w:rFonts w:ascii="David" w:hAnsi="David"/>
          <w:b/>
          <w:bCs/>
          <w:u w:val="single"/>
          <w:rtl/>
        </w:rPr>
        <w:t>ההחלטה ניתנת לפרסום בהשמטת פרטים מזהים</w:t>
      </w:r>
    </w:p>
    <w:p w:rsidR="008B4DFE" w:rsidRDefault="008B4DFE" w:rsidP="0080421C">
      <w:pPr>
        <w:spacing w:before="240" w:after="240" w:line="360" w:lineRule="auto"/>
        <w:ind w:firstLine="720"/>
        <w:jc w:val="both"/>
        <w:rPr>
          <w:rFonts w:ascii="David" w:hAnsi="David"/>
        </w:rPr>
      </w:pPr>
      <w:r>
        <w:rPr>
          <w:rFonts w:ascii="David" w:hAnsi="David"/>
          <w:rtl/>
        </w:rPr>
        <w:t>ת.מ.</w:t>
      </w: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ח' אב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12 אוגוסט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565A5A" w:rsidP="00633C4F">
      <w:pPr>
        <w:spacing w:line="360" w:lineRule="auto"/>
        <w:ind w:left="3600" w:firstLine="720"/>
      </w:pPr>
      <w:sdt>
        <w:sdtPr>
          <w:rPr>
            <w:rtl/>
          </w:rPr>
          <w:alias w:val="MergeField"/>
          <w:tag w:val="1237"/>
          <w:id w:val="-1542277847"/>
        </w:sdtPr>
        <w:sdtEndPr/>
        <w:sdtContent>
          <w:r w:rsidR="00081C7F">
            <w:drawing>
              <wp:inline distT="0" distB="0" distL="0" distR="0" wp14:editId="50D07946">
                <wp:extent cx="2038350" cy="695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4" cstate="print">
                          <a:extLst/>
                        </a:blip>
                        <a:stretch>
                          <a:fillRect/>
                        </a:stretch>
                      </pic:blipFill>
                      <pic:spPr>
                        <a:xfrm>
                          <a:off x="0" y="0"/>
                          <a:ext cx="2038350" cy="6953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5"/>
      <w:headerReference w:type="default" r:id="rId16"/>
      <w:footerReference w:type="even" r:id="rId17"/>
      <w:footerReference w:type="default" r:id="rId18"/>
      <w:headerReference w:type="first" r:id="rId19"/>
      <w:footerReference w:type="first" r:id="rId20"/>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5A5A" w:rsidRDefault="00565A5A">
      <w:r>
        <w:separator/>
      </w:r>
    </w:p>
  </w:endnote>
  <w:endnote w:type="continuationSeparator" w:id="0">
    <w:p w:rsidR="00565A5A" w:rsidRDefault="00565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54B3" w:rsidRDefault="006D54B3">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5"/>
      <w:jc w:val="center"/>
      <w:rPr>
        <w:rStyle w:val="ac"/>
      </w:rPr>
    </w:pPr>
    <w:r w:rsidRPr="004E6E3C">
      <w:rPr>
        <w:rStyle w:val="ac"/>
        <w:rFonts w:cs="Times New Roman"/>
      </w:rPr>
      <w:fldChar w:fldCharType="begin"/>
    </w:r>
    <w:r w:rsidR="00005C8B" w:rsidRPr="004E6E3C">
      <w:rPr>
        <w:rStyle w:val="ac"/>
        <w:rFonts w:cs="Times New Roman"/>
      </w:rPr>
      <w:instrText xml:space="preserve"> PAGE </w:instrText>
    </w:r>
    <w:r w:rsidRPr="004E6E3C">
      <w:rPr>
        <w:rStyle w:val="ac"/>
        <w:rFonts w:cs="Times New Roman"/>
      </w:rPr>
      <w:fldChar w:fldCharType="separate"/>
    </w:r>
    <w:r w:rsidR="006D54B3">
      <w:rPr>
        <w:rStyle w:val="ac"/>
        <w:rFonts w:cs="Times New Roman"/>
        <w:rtl/>
      </w:rPr>
      <w:t>1</w:t>
    </w:r>
    <w:r w:rsidRPr="004E6E3C">
      <w:rPr>
        <w:rStyle w:val="ac"/>
        <w:rFonts w:cs="Times New Roman"/>
      </w:rPr>
      <w:fldChar w:fldCharType="end"/>
    </w:r>
    <w:r w:rsidR="00005C8B" w:rsidRPr="004E6E3C">
      <w:rPr>
        <w:rStyle w:val="ac"/>
        <w:rFonts w:hint="cs"/>
        <w:rtl/>
      </w:rPr>
      <w:t xml:space="preserve"> מתוך </w:t>
    </w:r>
    <w:r w:rsidRPr="004E6E3C">
      <w:rPr>
        <w:rStyle w:val="ac"/>
      </w:rPr>
      <w:fldChar w:fldCharType="begin"/>
    </w:r>
    <w:r w:rsidR="00005C8B" w:rsidRPr="004E6E3C">
      <w:rPr>
        <w:rStyle w:val="ac"/>
      </w:rPr>
      <w:instrText xml:space="preserve"> NUMPAGES </w:instrText>
    </w:r>
    <w:r w:rsidRPr="004E6E3C">
      <w:rPr>
        <w:rStyle w:val="ac"/>
      </w:rPr>
      <w:fldChar w:fldCharType="separate"/>
    </w:r>
    <w:r w:rsidR="006D54B3">
      <w:rPr>
        <w:rStyle w:val="ac"/>
        <w:rtl/>
      </w:rPr>
      <w:t>12</w:t>
    </w:r>
    <w:r w:rsidRPr="004E6E3C">
      <w:rPr>
        <w:rStyle w:val="ac"/>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54B3" w:rsidRDefault="006D54B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5A5A" w:rsidRDefault="00565A5A">
      <w:r>
        <w:separator/>
      </w:r>
    </w:p>
  </w:footnote>
  <w:footnote w:type="continuationSeparator" w:id="0">
    <w:p w:rsidR="00565A5A" w:rsidRDefault="00565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54B3" w:rsidRDefault="006D54B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565A5A" w:rsidP="0042793A">
          <w:pPr>
            <w:rPr>
              <w:b/>
              <w:bCs/>
              <w:noProof w:val="0"/>
              <w:sz w:val="26"/>
              <w:szCs w:val="26"/>
              <w:rtl/>
            </w:rPr>
          </w:pPr>
          <w:sdt>
            <w:sdtPr>
              <w:rPr>
                <w:b/>
                <w:bCs/>
                <w:noProof w:val="0"/>
                <w:sz w:val="26"/>
                <w:szCs w:val="26"/>
                <w:rtl/>
              </w:rPr>
              <w:alias w:val="1170"/>
              <w:tag w:val="1170"/>
              <w:id w:val="299038016"/>
              <w:text w:multiLine="1"/>
            </w:sdtPr>
            <w:sdtEndPr/>
            <w:sdtContent>
              <w:r w:rsidR="00D96480">
                <w:rPr>
                  <w:b/>
                  <w:bCs/>
                  <w:noProof w:val="0"/>
                  <w:sz w:val="26"/>
                  <w:szCs w:val="26"/>
                  <w:rtl/>
                </w:rPr>
                <w:t>תמ"ש</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D96480">
                <w:rPr>
                  <w:b/>
                  <w:bCs/>
                  <w:noProof w:val="0"/>
                  <w:sz w:val="26"/>
                  <w:szCs w:val="26"/>
                  <w:rtl/>
                </w:rPr>
                <w:t>48903-09-22</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42793A">
                <w:rPr>
                  <w:rFonts w:hint="cs"/>
                  <w:b/>
                  <w:bCs/>
                  <w:noProof w:val="0"/>
                  <w:sz w:val="26"/>
                  <w:szCs w:val="26"/>
                  <w:rtl/>
                </w:rPr>
                <w:t xml:space="preserve">פלוני </w:t>
              </w:r>
              <w:r w:rsidR="0042793A">
                <w:rPr>
                  <w:b/>
                  <w:bCs/>
                  <w:noProof w:val="0"/>
                  <w:sz w:val="26"/>
                  <w:szCs w:val="26"/>
                  <w:rtl/>
                </w:rPr>
                <w:t xml:space="preserve"> ואח' נ'</w:t>
              </w:r>
              <w:r w:rsidR="0042793A">
                <w:rPr>
                  <w:rFonts w:hint="cs"/>
                  <w:b/>
                  <w:bCs/>
                  <w:noProof w:val="0"/>
                  <w:sz w:val="26"/>
                  <w:szCs w:val="26"/>
                  <w:rtl/>
                </w:rPr>
                <w:t xml:space="preserve"> אלמוני</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54B3" w:rsidRDefault="006D54B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AE2A62"/>
    <w:multiLevelType w:val="hybridMultilevel"/>
    <w:tmpl w:val="54C44BB6"/>
    <w:lvl w:ilvl="0" w:tplc="66AC6DDE">
      <w:start w:val="46"/>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1" w15:restartNumberingAfterBreak="0">
    <w:nsid w:val="4A30666E"/>
    <w:multiLevelType w:val="hybridMultilevel"/>
    <w:tmpl w:val="CA465698"/>
    <w:lvl w:ilvl="0" w:tplc="3468C7CE">
      <w:start w:val="40"/>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6014375C"/>
    <w:multiLevelType w:val="hybridMultilevel"/>
    <w:tmpl w:val="53E84A66"/>
    <w:lvl w:ilvl="0" w:tplc="97BCA34C">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6AFC16BE"/>
    <w:multiLevelType w:val="hybridMultilevel"/>
    <w:tmpl w:val="79D6A820"/>
    <w:lvl w:ilvl="0" w:tplc="E3F23BD8">
      <w:start w:val="56"/>
      <w:numFmt w:val="decimal"/>
      <w:lvlText w:val="%1."/>
      <w:lvlJc w:val="left"/>
      <w:pPr>
        <w:ind w:left="644" w:hanging="360"/>
      </w:pPr>
      <w:rPr>
        <w:rFonts w:ascii="David" w:hAnsi="David" w:cs="David" w:hint="default"/>
        <w:sz w:val="24"/>
        <w:szCs w:val="24"/>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abstractNumId w:val="2"/>
  </w:num>
  <w:num w:numId="2">
    <w:abstractNumId w:val="1"/>
    <w:lvlOverride w:ilvl="0">
      <w:startOverride w:val="4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4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5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62411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624115&amp;lt;/CaseID&amp;gt;_x000d__x000a_        &amp;lt;CaseMonth&amp;gt;9&amp;lt;/CaseMonth&amp;gt;_x000d__x000a_        &amp;lt;CaseYear&amp;gt;2022&amp;lt;/CaseYear&amp;gt;_x000d__x000a_        &amp;lt;CaseNumber&amp;gt;48903&amp;lt;/CaseNumber&amp;gt;_x000d__x000a_        &amp;lt;NumeratorGroupID&amp;gt;1&amp;lt;/NumeratorGroupID&amp;gt;_x000d__x000a_        &amp;lt;CaseName&amp;gt;מאיר ואח&amp;#39; נ&amp;#39; ברקוביצי&amp;lt;/CaseName&amp;gt;_x000d__x000a_        &amp;lt;CourtID&amp;gt;25&amp;lt;/CourtID&amp;gt;_x000d__x000a_        &amp;lt;CaseTypeID&amp;gt;15&amp;lt;/CaseTypeID&amp;gt;_x000d__x000a_        &amp;lt;CaseInterestID&amp;gt;10116&amp;lt;/CaseInterestID&amp;gt;_x000d__x000a_        &amp;lt;CaseJudgeName&amp;gt;שירי היי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8903-09-22&amp;lt;/CaseDisplayIdentifier&amp;gt;_x000d__x000a_        &amp;lt;CaseTypeDesc&amp;gt;תמ&amp;quot;ש&amp;lt;/CaseTypeDesc&amp;gt;_x000d__x000a_        &amp;lt;CourtDesc&amp;gt;שלום קריות&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2-09-21T14:34:00+03:00&amp;lt;/CaseOpenDate&amp;gt;_x000d__x000a_        &amp;lt;PleaTypeID&amp;gt;4&amp;lt;/PleaTypeID&amp;gt;_x000d__x000a_        &amp;lt;CourtLevelID&amp;gt;1&amp;lt;/CourtLevelID&amp;gt;_x000d__x000a_        &amp;lt;CourtLevelCaseTypeInterestID&amp;gt;95&amp;lt;/CourtLevelCaseTypeInterestID&amp;gt;_x000d__x000a_        &amp;lt;CaseJudgeFirstName&amp;gt;שירי&amp;lt;/CaseJudgeFirstName&amp;gt;_x000d__x000a_        &amp;lt;CaseJudgeLastName&amp;gt;היימן&amp;lt;/CaseJudgeLastName&amp;gt;_x000d__x000a_        &amp;lt;JudicalPersonID&amp;gt;058748633@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624115&amp;lt;/CaseID&amp;gt;_x000d__x000a_        &amp;lt;CaseMonth&amp;gt;9&amp;lt;/CaseMonth&amp;gt;_x000d__x000a_        &amp;lt;CaseYear&amp;gt;2022&amp;lt;/CaseYear&amp;gt;_x000d__x000a_        &amp;lt;CaseNumber&amp;gt;48903&amp;lt;/CaseNumber&amp;gt;_x000d__x000a_        &amp;lt;NumeratorGroupID&amp;gt;1&amp;lt;/NumeratorGroupID&amp;gt;_x000d__x000a_        &amp;lt;CaseName&amp;gt;מאיר ואח&amp;#39; נ&amp;#39; ברקוביצי&amp;lt;/CaseName&amp;gt;_x000d__x000a_        &amp;lt;CourtID&amp;gt;25&amp;lt;/CourtID&amp;gt;_x000d__x000a_        &amp;lt;CaseTypeID&amp;gt;15&amp;lt;/CaseTypeID&amp;gt;_x000d__x000a_        &amp;lt;CaseInterestID&amp;gt;10116&amp;lt;/CaseInterestID&amp;gt;_x000d__x000a_        &amp;lt;CaseJudgeName&amp;gt;שירי היי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8903-09-22&amp;lt;/CaseDisplayIdentifier&amp;gt;_x000d__x000a_        &amp;lt;CaseTypeDesc&amp;gt;תמ&amp;quot;ש&amp;lt;/CaseTypeDesc&amp;gt;_x000d__x000a_        &amp;lt;CourtDesc&amp;gt;שלום קריות&amp;lt;/CourtDesc&amp;gt;_x000d__x000a_        &amp;lt;CaseStageDesc&amp;gt;תיק אלקטרוני&amp;lt;/CaseStageDesc&amp;gt;_x000d__x000a_        &amp;lt;CaseNextDeterminingTask&amp;gt;151&amp;lt;/CaseNextDeterminingTask&amp;gt;_x000d__x000a_        &amp;lt;CaseOpenDate&amp;gt;2022-09-21T14:34:00+03:00&amp;lt;/CaseOpenDate&amp;gt;_x000d__x000a_        &amp;lt;PleaTypeID&amp;gt;4&amp;lt;/PleaTypeID&amp;gt;_x000d__x000a_        &amp;lt;CourtLevelID&amp;gt;1&amp;lt;/CourtLevelID&amp;gt;_x000d__x000a_        &amp;lt;CourtLevelCaseTypeInterestID&amp;gt;95&amp;lt;/CourtLevelCaseTypeInterestID&amp;gt;_x000d__x000a_        &amp;lt;CaseJudgeFirstName&amp;gt;שירי&amp;lt;/CaseJudgeFirstName&amp;gt;_x000d__x000a_        &amp;lt;CaseJudgeLastName&amp;gt;היימן&amp;lt;/CaseJudgeLastName&amp;gt;_x000d__x000a_        &amp;lt;JudicalPersonID&amp;gt;058748633@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394948&amp;lt;/DecisionID&amp;gt;_x000d__x000a_        &amp;lt;DecisionName&amp;gt;פסק דין  שניתנה ע&amp;quot;י  שירי היימן&amp;lt;/DecisionName&amp;gt;_x000d__x000a_        &amp;lt;DecisionStatusID&amp;gt;1&amp;lt;/DecisionStatusID&amp;gt;_x000d__x000a_        &amp;lt;DecisionStatusChangeDate&amp;gt;2024-08-12T11:16:30.793+03:00&amp;lt;/DecisionStatusChangeDate&amp;gt;_x000d__x000a_        &amp;lt;DecisionSignatureDate&amp;gt;2024-08-12T11:16:27.347+03:00&amp;lt;/DecisionSignatureDate&amp;gt;_x000d__x000a_        &amp;lt;DecisionSignatureUserID&amp;gt;058748633@GOV.IL&amp;lt;/DecisionSignatureUserID&amp;gt;_x000d__x000a_        &amp;lt;DecisionCreateDate&amp;gt;2024-08-12T11:12:44.16+03:00&amp;lt;/DecisionCreateDate&amp;gt;_x000d__x000a_        &amp;lt;DecisionChangeDate&amp;gt;2024-08-12T11:16:30.86+03:00&amp;lt;/DecisionChangeDate&amp;gt;_x000d__x000a_        &amp;lt;DecisionChangeUserID&amp;gt;025250358@GOV.IL&amp;lt;/DecisionChangeUserID&amp;gt;_x000d__x000a_        &amp;lt;IsChosenDecision&amp;gt;tru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253789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874863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5250358@GOV.IL&amp;lt;/DecisionCreationUserID&amp;gt;_x000d__x000a_        &amp;lt;DecisionDisplayName&amp;gt;פסק דין  שניתנה ע&amp;quot;י  שירי היימן&amp;lt;/DecisionDisplayName&amp;gt;_x000d__x000a_        &amp;lt;IsScanned&amp;gt;false&amp;lt;/IsScanned&amp;gt;_x000d__x000a_        &amp;lt;DecisionSignatureUserName&amp;gt;שירי היימ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7&amp;lt;/DecisionNumberInCase&amp;gt;_x000d__x000a_      &amp;lt;/dt_Decision&amp;gt;_x000d__x000a_      &amp;lt;dt_DecisionCase diffgr:id=&amp;quot;dt_DecisionCase1&amp;quot; msdata:rowOrder=&amp;quot;0&amp;quot;&amp;gt;_x000d__x000a_        &amp;lt;DecisionID&amp;gt;154394948&amp;lt;/DecisionID&amp;gt;_x000d__x000a_        &amp;lt;CaseID&amp;gt;79624115&amp;lt;/CaseID&amp;gt;_x000d__x000a_        &amp;lt;IsOriginal&amp;gt;true&amp;lt;/IsOriginal&amp;gt;_x000d__x000a_        &amp;lt;IsDeleted&amp;gt;false&amp;lt;/IsDeleted&amp;gt;_x000d__x000a_        &amp;lt;CaseName&amp;gt;מאיר ואח&amp;#39; נ&amp;#39; ברקוביצי&amp;lt;/CaseName&amp;gt;_x000d__x000a_        &amp;lt;CaseDisplayIdentifier&amp;gt;48903-09-22 תמ&amp;quot;ש&amp;lt;/CaseDisplayIdentifier&amp;gt;_x000d__x000a_      &amp;lt;/dt_DecisionCase&amp;gt;_x000d__x000a_    &amp;lt;/DecisionDS&amp;gt;_x000d__x000a_  &amp;lt;/diffgr:diffgram&amp;gt;_x000d__x000a_&amp;lt;/DecisionDS&amp;gt;"/>
    <w:docVar w:name="DecisionID" w:val="154394948"/>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81C7F"/>
    <w:rsid w:val="000D4A02"/>
    <w:rsid w:val="001072A9"/>
    <w:rsid w:val="00121F97"/>
    <w:rsid w:val="001277D7"/>
    <w:rsid w:val="00132017"/>
    <w:rsid w:val="0014234E"/>
    <w:rsid w:val="00145A87"/>
    <w:rsid w:val="001776D9"/>
    <w:rsid w:val="00184515"/>
    <w:rsid w:val="001C4003"/>
    <w:rsid w:val="001F5474"/>
    <w:rsid w:val="002352F7"/>
    <w:rsid w:val="0024393D"/>
    <w:rsid w:val="00251C32"/>
    <w:rsid w:val="0027277D"/>
    <w:rsid w:val="003620F6"/>
    <w:rsid w:val="00381D3A"/>
    <w:rsid w:val="003823DA"/>
    <w:rsid w:val="0042793A"/>
    <w:rsid w:val="0043595F"/>
    <w:rsid w:val="0047645A"/>
    <w:rsid w:val="004D49A3"/>
    <w:rsid w:val="004D50AC"/>
    <w:rsid w:val="004E6E3C"/>
    <w:rsid w:val="005124F1"/>
    <w:rsid w:val="00530BAD"/>
    <w:rsid w:val="00541598"/>
    <w:rsid w:val="00547DB7"/>
    <w:rsid w:val="00565A5A"/>
    <w:rsid w:val="00567324"/>
    <w:rsid w:val="005B0F49"/>
    <w:rsid w:val="005C7EC6"/>
    <w:rsid w:val="005D4BDB"/>
    <w:rsid w:val="00622BAA"/>
    <w:rsid w:val="00625C89"/>
    <w:rsid w:val="00633C4F"/>
    <w:rsid w:val="00671BD5"/>
    <w:rsid w:val="006805C1"/>
    <w:rsid w:val="006816EC"/>
    <w:rsid w:val="00694556"/>
    <w:rsid w:val="006D54B3"/>
    <w:rsid w:val="006E1A53"/>
    <w:rsid w:val="007056AA"/>
    <w:rsid w:val="00744F41"/>
    <w:rsid w:val="007A24FE"/>
    <w:rsid w:val="007A35AA"/>
    <w:rsid w:val="007F1048"/>
    <w:rsid w:val="0080421C"/>
    <w:rsid w:val="00820005"/>
    <w:rsid w:val="00846D27"/>
    <w:rsid w:val="008610A7"/>
    <w:rsid w:val="008B4DFE"/>
    <w:rsid w:val="008E1332"/>
    <w:rsid w:val="00903896"/>
    <w:rsid w:val="00927813"/>
    <w:rsid w:val="00944D13"/>
    <w:rsid w:val="00957C90"/>
    <w:rsid w:val="009C358E"/>
    <w:rsid w:val="009E0263"/>
    <w:rsid w:val="00A267CF"/>
    <w:rsid w:val="00A43458"/>
    <w:rsid w:val="00AB566F"/>
    <w:rsid w:val="00AC4E19"/>
    <w:rsid w:val="00AF1ED6"/>
    <w:rsid w:val="00B32C61"/>
    <w:rsid w:val="00B368FE"/>
    <w:rsid w:val="00B80CBD"/>
    <w:rsid w:val="00BC3369"/>
    <w:rsid w:val="00BF77EE"/>
    <w:rsid w:val="00C32E0F"/>
    <w:rsid w:val="00C42BF9"/>
    <w:rsid w:val="00C83E56"/>
    <w:rsid w:val="00CC63CE"/>
    <w:rsid w:val="00D319B3"/>
    <w:rsid w:val="00D36A71"/>
    <w:rsid w:val="00D47743"/>
    <w:rsid w:val="00D53924"/>
    <w:rsid w:val="00D60849"/>
    <w:rsid w:val="00D96480"/>
    <w:rsid w:val="00D96D8C"/>
    <w:rsid w:val="00DA755B"/>
    <w:rsid w:val="00DD337E"/>
    <w:rsid w:val="00E00B6F"/>
    <w:rsid w:val="00E54642"/>
    <w:rsid w:val="00E97908"/>
    <w:rsid w:val="00EA5E21"/>
    <w:rsid w:val="00EF3ED0"/>
    <w:rsid w:val="00F17E56"/>
    <w:rsid w:val="00F7214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64423"/>
    <w:pPr>
      <w:tabs>
        <w:tab w:val="center" w:pos="4153"/>
        <w:tab w:val="right" w:pos="8306"/>
      </w:tabs>
    </w:pPr>
  </w:style>
  <w:style w:type="paragraph" w:styleId="a5">
    <w:name w:val="footer"/>
    <w:basedOn w:val="a"/>
    <w:rsid w:val="00C64423"/>
    <w:pPr>
      <w:tabs>
        <w:tab w:val="center" w:pos="4153"/>
        <w:tab w:val="right" w:pos="8306"/>
      </w:tabs>
    </w:pPr>
  </w:style>
  <w:style w:type="paragraph" w:customStyle="1" w:styleId="a6">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
    <w:semiHidden/>
    <w:rsid w:val="00C64423"/>
    <w:rPr>
      <w:rFonts w:cs="Times New Roman"/>
      <w:noProof w:val="0"/>
    </w:rPr>
  </w:style>
  <w:style w:type="character" w:styleId="a8">
    <w:name w:val="annotation reference"/>
    <w:basedOn w:val="a0"/>
    <w:semiHidden/>
    <w:rsid w:val="00C64423"/>
    <w:rPr>
      <w:sz w:val="16"/>
      <w:szCs w:val="16"/>
    </w:rPr>
  </w:style>
  <w:style w:type="paragraph" w:styleId="a9">
    <w:name w:val="Balloon Text"/>
    <w:basedOn w:val="a"/>
    <w:semiHidden/>
    <w:rsid w:val="00C64423"/>
    <w:rPr>
      <w:rFonts w:ascii="Tahoma" w:hAnsi="Tahoma" w:cs="Tahoma"/>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table" w:customStyle="1" w:styleId="1">
    <w:name w:val="טבלת רשת1"/>
    <w:basedOn w:val="a1"/>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957C90"/>
    <w:rPr>
      <w:color w:val="808080"/>
    </w:rPr>
  </w:style>
  <w:style w:type="character" w:customStyle="1" w:styleId="a4">
    <w:name w:val="כותרת עליונה תו"/>
    <w:basedOn w:val="a0"/>
    <w:link w:val="a3"/>
    <w:rPr>
      <w:rFonts w:cs="David"/>
      <w:noProof/>
      <w:sz w:val="24"/>
      <w:szCs w:val="24"/>
    </w:rPr>
  </w:style>
  <w:style w:type="paragraph" w:styleId="ae">
    <w:name w:val="List Paragraph"/>
    <w:basedOn w:val="a"/>
    <w:uiPriority w:val="34"/>
    <w:qFormat/>
    <w:rsid w:val="008B4DFE"/>
    <w:pPr>
      <w:ind w:left="720"/>
    </w:pPr>
    <w:rPr>
      <w:rFonts w:cs="Times New Roman"/>
      <w:noProof w:val="0"/>
    </w:rPr>
  </w:style>
  <w:style w:type="paragraph" w:customStyle="1" w:styleId="ruller4">
    <w:name w:val="ruller4"/>
    <w:basedOn w:val="a"/>
    <w:rsid w:val="008B4DFE"/>
    <w:pPr>
      <w:overflowPunct w:val="0"/>
      <w:autoSpaceDE w:val="0"/>
      <w:autoSpaceDN w:val="0"/>
      <w:spacing w:line="360" w:lineRule="auto"/>
      <w:jc w:val="both"/>
    </w:pPr>
    <w:rPr>
      <w:rFonts w:ascii="Arial TUR" w:eastAsia="Arial Unicode MS" w:hAnsi="Arial TUR" w:cs="Arial TUR"/>
      <w:noProof w:val="0"/>
      <w:spacing w:val="10"/>
      <w:sz w:val="22"/>
      <w:szCs w:val="22"/>
      <w:lang w:eastAsia="he-IL"/>
    </w:rPr>
  </w:style>
  <w:style w:type="paragraph" w:customStyle="1" w:styleId="ruller5">
    <w:name w:val="ruller5"/>
    <w:basedOn w:val="a"/>
    <w:rsid w:val="008B4DFE"/>
    <w:pPr>
      <w:overflowPunct w:val="0"/>
      <w:autoSpaceDE w:val="0"/>
      <w:autoSpaceDN w:val="0"/>
      <w:ind w:left="1642" w:right="1282"/>
      <w:jc w:val="both"/>
    </w:pPr>
    <w:rPr>
      <w:rFonts w:ascii="Arial TUR" w:eastAsia="Arial Unicode MS" w:hAnsi="Arial TUR" w:cs="Arial TUR"/>
      <w:noProof w:val="0"/>
      <w:spacing w:val="10"/>
      <w:sz w:val="22"/>
      <w:szCs w:val="22"/>
      <w:lang w:eastAsia="he-IL"/>
    </w:rPr>
  </w:style>
  <w:style w:type="character" w:styleId="Hyperlink">
    <w:name w:val="Hyperlink"/>
    <w:basedOn w:val="a0"/>
    <w:uiPriority w:val="99"/>
    <w:semiHidden/>
    <w:unhideWhenUsed/>
    <w:rsid w:val="008B4DF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117835">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8648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vo.co.il/safrut/bookgroup/562"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nevo.co.il/law/72178/41"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law/72178/42.b" TargetMode="Externa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nevo.co.il/law/72178/42"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nevo.co.il/case/22006401" TargetMode="External"/><Relationship Id="rId14" Type="http://schemas.openxmlformats.org/officeDocument/2006/relationships/image" Target="media/image1.jpg"/><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DB0FEA5F6A64E32AB1510526386A99A"/>
        <w:category>
          <w:name w:val="כללי"/>
          <w:gallery w:val="placeholder"/>
        </w:category>
        <w:types>
          <w:type w:val="bbPlcHdr"/>
        </w:types>
        <w:behaviors>
          <w:behavior w:val="content"/>
        </w:behaviors>
        <w:guid w:val="{4ACBF3F3-B534-4E77-849D-3EEC3D760486}"/>
      </w:docPartPr>
      <w:docPartBody>
        <w:p w:rsidR="00B40AEB" w:rsidRDefault="00CC5512">
          <w:r w:rsidRPr="00C03291">
            <w:rPr>
              <w:rStyle w:val="a3"/>
              <w:rtl/>
            </w:rPr>
            <w:t>סמן</w:t>
          </w:r>
        </w:p>
      </w:docPartBody>
    </w:docPart>
    <w:docPart>
      <w:docPartPr>
        <w:name w:val="BB70986D8BB243E9BA4660D4A6EFD025"/>
        <w:category>
          <w:name w:val="כללי"/>
          <w:gallery w:val="placeholder"/>
        </w:category>
        <w:types>
          <w:type w:val="bbPlcHdr"/>
        </w:types>
        <w:behaviors>
          <w:behavior w:val="content"/>
        </w:behaviors>
        <w:guid w:val="{334AB83E-7BC3-43E7-A7E8-3588EAE68A50}"/>
      </w:docPartPr>
      <w:docPartBody>
        <w:p w:rsidR="00B65812" w:rsidRDefault="00B40AEB" w:rsidP="00B40AEB">
          <w:pPr>
            <w:pStyle w:val="5949AF95AEA74B59BE15EEF01C3D9584"/>
          </w:pPr>
          <w:r>
            <w:rPr>
              <w:rStyle w:val="a3"/>
              <w:rtl/>
            </w:rPr>
            <w:t>לחץ כאן להזנת טקסט</w:t>
          </w:r>
          <w:r>
            <w:rPr>
              <w:rStyle w:val="a3"/>
            </w:rPr>
            <w:t>.</w:t>
          </w:r>
        </w:p>
      </w:docPartBody>
    </w:docPart>
    <w:docPart>
      <w:docPartPr>
        <w:name w:val="C0F9B131B0574A24A703115F4D84A742"/>
        <w:category>
          <w:name w:val="כללי"/>
          <w:gallery w:val="placeholder"/>
        </w:category>
        <w:types>
          <w:type w:val="bbPlcHdr"/>
        </w:types>
        <w:behaviors>
          <w:behavior w:val="content"/>
        </w:behaviors>
        <w:guid w:val="{332A3171-B975-40A0-9B07-E7ABD5F25AE5}"/>
      </w:docPartPr>
      <w:docPartBody>
        <w:p w:rsidR="00B65812" w:rsidRDefault="00BD4F04" w:rsidP="00BD4F04">
          <w:pPr>
            <w:pStyle w:val="F543BD6017094ECA8A197FD31D42F9F06"/>
          </w:pPr>
          <w:r>
            <w:rPr>
              <w:rFonts w:hint="cs"/>
              <w:b/>
              <w:bCs/>
              <w:sz w:val="26"/>
              <w:szCs w:val="26"/>
              <w:rtl/>
            </w:rPr>
            <w:t>מעמד/כינוי צד ג</w:t>
          </w:r>
        </w:p>
      </w:docPartBody>
    </w:docPart>
    <w:docPart>
      <w:docPartPr>
        <w:name w:val="31C22C639E8644028AE0EE7EA106DCCF"/>
        <w:category>
          <w:name w:val="כללי"/>
          <w:gallery w:val="placeholder"/>
        </w:category>
        <w:types>
          <w:type w:val="bbPlcHdr"/>
        </w:types>
        <w:behaviors>
          <w:behavior w:val="content"/>
        </w:behaviors>
        <w:guid w:val="{F3385AC5-2125-4365-A740-5E2BD030964A}"/>
      </w:docPartPr>
      <w:docPartBody>
        <w:p w:rsidR="00EA7F31" w:rsidRDefault="00BD4F04" w:rsidP="00BD4F04">
          <w:pPr>
            <w:pStyle w:val="D650C3ADC6E34C929EE3D2B6C6EAD8DA4"/>
          </w:pPr>
          <w:r w:rsidRPr="009C358E">
            <w:rPr>
              <w:rFonts w:hint="eastAsia"/>
              <w:b/>
              <w:bCs/>
              <w:noProof w:val="0"/>
              <w:sz w:val="28"/>
              <w:rtl/>
            </w:rPr>
            <w:t>סוג</w:t>
          </w:r>
          <w:r w:rsidRPr="009C358E">
            <w:rPr>
              <w:b/>
              <w:bCs/>
              <w:noProof w:val="0"/>
              <w:sz w:val="28"/>
              <w:rtl/>
            </w:rPr>
            <w:t xml:space="preserve"> זיהוי צד א'</w:t>
          </w:r>
        </w:p>
      </w:docPartBody>
    </w:docPart>
    <w:docPart>
      <w:docPartPr>
        <w:name w:val="798AD560F0434688B2BAF8316CAB7013"/>
        <w:category>
          <w:name w:val="כללי"/>
          <w:gallery w:val="placeholder"/>
        </w:category>
        <w:types>
          <w:type w:val="bbPlcHdr"/>
        </w:types>
        <w:behaviors>
          <w:behavior w:val="content"/>
        </w:behaviors>
        <w:guid w:val="{6C5AD858-BD6E-4A5F-B2D3-2665C8247AAE}"/>
      </w:docPartPr>
      <w:docPartBody>
        <w:p w:rsidR="00EA7F31" w:rsidRDefault="00BD4F04" w:rsidP="00BD4F04">
          <w:pPr>
            <w:pStyle w:val="4C0CD05467694806A8B4ED31ED85F2704"/>
          </w:pPr>
          <w:r w:rsidRPr="009C358E">
            <w:rPr>
              <w:rFonts w:hint="eastAsia"/>
              <w:b/>
              <w:bCs/>
              <w:noProof w:val="0"/>
              <w:sz w:val="28"/>
              <w:rtl/>
            </w:rPr>
            <w:t>מספר</w:t>
          </w:r>
          <w:r w:rsidRPr="009C358E">
            <w:rPr>
              <w:b/>
              <w:bCs/>
              <w:noProof w:val="0"/>
              <w:sz w:val="28"/>
              <w:rtl/>
            </w:rPr>
            <w:t xml:space="preserve"> זיהוי צד ב'</w:t>
          </w:r>
        </w:p>
      </w:docPartBody>
    </w:docPart>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652B70" w:rsidRDefault="001804E6">
          <w:pPr>
            <w:pStyle w:val="11E53742C0A04E428D5CAB4ED9188825"/>
          </w:pPr>
          <w:r>
            <w:rPr>
              <w:b/>
              <w:bCs/>
              <w:sz w:val="26"/>
              <w:szCs w:val="26"/>
              <w:rtl/>
            </w:rPr>
            <w:t>סוג זיהוי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1804E6"/>
    <w:rsid w:val="00652B70"/>
    <w:rsid w:val="00785C25"/>
    <w:rsid w:val="008A4E7B"/>
    <w:rsid w:val="00B40AEB"/>
    <w:rsid w:val="00B65812"/>
    <w:rsid w:val="00BD4F04"/>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6DB0FEA5F6A64E32AB1510526386A99A">
    <w:name w:val="6DB0FEA5F6A64E32AB1510526386A99A"/>
    <w:pPr>
      <w:bidi/>
    </w:pPr>
  </w:style>
  <w:style w:type="paragraph" w:customStyle="1" w:styleId="BB70986D8BB243E9BA4660D4A6EFD025">
    <w:name w:val="BB70986D8BB243E9BA4660D4A6EFD025"/>
    <w:pPr>
      <w:bidi/>
    </w:pPr>
  </w:style>
  <w:style w:type="paragraph" w:customStyle="1" w:styleId="C0F9B131B0574A24A703115F4D84A742">
    <w:name w:val="C0F9B131B0574A24A703115F4D84A742"/>
    <w:pPr>
      <w:bidi/>
    </w:pPr>
  </w:style>
  <w:style w:type="paragraph" w:customStyle="1" w:styleId="11E53742C0A04E428D5CAB4ED9188825">
    <w:name w:val="11E53742C0A04E428D5CAB4ED9188825"/>
    <w:pPr>
      <w:bidi/>
    </w:pPr>
  </w:style>
  <w:style w:type="paragraph" w:customStyle="1" w:styleId="40C534188CF247B5A6057177CDC7BB7F">
    <w:name w:val="40C534188CF247B5A6057177CDC7BB7F"/>
    <w:pPr>
      <w:bidi/>
    </w:pPr>
  </w:style>
  <w:style w:type="paragraph" w:customStyle="1" w:styleId="31C22C639E8644028AE0EE7EA106DCCF">
    <w:name w:val="31C22C639E8644028AE0EE7EA106DCCF"/>
    <w:pPr>
      <w:bidi/>
    </w:pPr>
  </w:style>
  <w:style w:type="paragraph" w:customStyle="1" w:styleId="D5006860793A4C28AE5A7BAD496ECBE3">
    <w:name w:val="D5006860793A4C28AE5A7BAD496ECBE3"/>
    <w:pPr>
      <w:bidi/>
    </w:pPr>
  </w:style>
  <w:style w:type="paragraph" w:customStyle="1" w:styleId="E7A051A506D445BEA0A851F5A087B285">
    <w:name w:val="E7A051A506D445BEA0A851F5A087B285"/>
    <w:pPr>
      <w:bidi/>
    </w:pPr>
  </w:style>
  <w:style w:type="paragraph" w:customStyle="1" w:styleId="798AD560F0434688B2BAF8316CAB7013">
    <w:name w:val="798AD560F0434688B2BAF8316CAB7013"/>
    <w:pPr>
      <w:bidi/>
    </w:pPr>
  </w:style>
  <w:style w:type="paragraph" w:customStyle="1" w:styleId="8222B35B32F841EF915EEB392D6CA9FF">
    <w:name w:val="8222B35B32F841EF915EEB392D6CA9FF"/>
    <w:pPr>
      <w:bidi/>
    </w:pPr>
  </w:style>
  <w:style w:type="paragraph" w:customStyle="1" w:styleId="C7412117784543A593DD45FCD01F3781">
    <w:name w:val="C7412117784543A593DD45FCD01F3781"/>
    <w:pPr>
      <w:bidi/>
    </w:pPr>
  </w:style>
  <w:style w:type="paragraph" w:customStyle="1" w:styleId="7663B826D0454F598ABF287E35BC1E33">
    <w:name w:val="7663B826D0454F598ABF287E35BC1E33"/>
    <w:pPr>
      <w:bidi/>
    </w:pPr>
  </w:style>
  <w:style w:type="character" w:styleId="a3">
    <w:name w:val="Placeholder Text"/>
    <w:basedOn w:val="a0"/>
    <w:uiPriority w:val="99"/>
    <w:semiHidden/>
    <w:rsid w:val="00BD4F04"/>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8A4E7B"/>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8A4E7B"/>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8A4E7B"/>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8A4E7B"/>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8A4E7B"/>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8A4E7B"/>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8A4E7B"/>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A4E7B"/>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A4E7B"/>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A4E7B"/>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A4E7B"/>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A4E7B"/>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A4E7B"/>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A4E7B"/>
    <w:pPr>
      <w:bidi/>
      <w:spacing w:after="0" w:line="240" w:lineRule="auto"/>
    </w:pPr>
    <w:rPr>
      <w:rFonts w:ascii="Times New Roman" w:eastAsia="Times New Roman" w:hAnsi="Times New Roman" w:cs="David"/>
      <w:noProof/>
      <w:sz w:val="24"/>
      <w:szCs w:val="24"/>
    </w:rPr>
  </w:style>
  <w:style w:type="paragraph" w:customStyle="1" w:styleId="D650C3ADC6E34C929EE3D2B6C6EAD8DA3">
    <w:name w:val="D650C3ADC6E34C929EE3D2B6C6EAD8DA3"/>
    <w:rsid w:val="00BD4F04"/>
    <w:pPr>
      <w:bidi/>
      <w:spacing w:after="0" w:line="240" w:lineRule="auto"/>
    </w:pPr>
    <w:rPr>
      <w:rFonts w:ascii="Times New Roman" w:eastAsia="Times New Roman" w:hAnsi="Times New Roman" w:cs="David"/>
      <w:noProof/>
      <w:sz w:val="24"/>
      <w:szCs w:val="24"/>
    </w:rPr>
  </w:style>
  <w:style w:type="paragraph" w:customStyle="1" w:styleId="0F98BC5BD65F4E3D9CB241A0552B31093">
    <w:name w:val="0F98BC5BD65F4E3D9CB241A0552B31093"/>
    <w:rsid w:val="00BD4F04"/>
    <w:pPr>
      <w:bidi/>
      <w:spacing w:after="0" w:line="240" w:lineRule="auto"/>
    </w:pPr>
    <w:rPr>
      <w:rFonts w:ascii="Times New Roman" w:eastAsia="Times New Roman" w:hAnsi="Times New Roman" w:cs="David"/>
      <w:noProof/>
      <w:sz w:val="24"/>
      <w:szCs w:val="24"/>
    </w:rPr>
  </w:style>
  <w:style w:type="paragraph" w:customStyle="1" w:styleId="188595C706B84060A65FC27D8AEC282C3">
    <w:name w:val="188595C706B84060A65FC27D8AEC282C3"/>
    <w:rsid w:val="00BD4F04"/>
    <w:pPr>
      <w:bidi/>
      <w:spacing w:after="0" w:line="240" w:lineRule="auto"/>
    </w:pPr>
    <w:rPr>
      <w:rFonts w:ascii="Times New Roman" w:eastAsia="Times New Roman" w:hAnsi="Times New Roman" w:cs="David"/>
      <w:noProof/>
      <w:sz w:val="24"/>
      <w:szCs w:val="24"/>
    </w:rPr>
  </w:style>
  <w:style w:type="paragraph" w:customStyle="1" w:styleId="4C0CD05467694806A8B4ED31ED85F2703">
    <w:name w:val="4C0CD05467694806A8B4ED31ED85F2703"/>
    <w:rsid w:val="00BD4F04"/>
    <w:pPr>
      <w:bidi/>
      <w:spacing w:after="0" w:line="240" w:lineRule="auto"/>
    </w:pPr>
    <w:rPr>
      <w:rFonts w:ascii="Times New Roman" w:eastAsia="Times New Roman" w:hAnsi="Times New Roman" w:cs="David"/>
      <w:noProof/>
      <w:sz w:val="24"/>
      <w:szCs w:val="24"/>
    </w:rPr>
  </w:style>
  <w:style w:type="paragraph" w:customStyle="1" w:styleId="F543BD6017094ECA8A197FD31D42F9F05">
    <w:name w:val="F543BD6017094ECA8A197FD31D42F9F05"/>
    <w:rsid w:val="00BD4F04"/>
    <w:pPr>
      <w:bidi/>
      <w:spacing w:after="0" w:line="240" w:lineRule="auto"/>
    </w:pPr>
    <w:rPr>
      <w:rFonts w:ascii="Times New Roman" w:eastAsia="Times New Roman" w:hAnsi="Times New Roman" w:cs="David"/>
      <w:noProof/>
      <w:sz w:val="24"/>
      <w:szCs w:val="24"/>
    </w:rPr>
  </w:style>
  <w:style w:type="paragraph" w:customStyle="1" w:styleId="43830518B23F43CE95EF1FDBFC3F7B6B5">
    <w:name w:val="43830518B23F43CE95EF1FDBFC3F7B6B5"/>
    <w:rsid w:val="00BD4F04"/>
    <w:pPr>
      <w:bidi/>
      <w:spacing w:after="0" w:line="240" w:lineRule="auto"/>
    </w:pPr>
    <w:rPr>
      <w:rFonts w:ascii="Times New Roman" w:eastAsia="Times New Roman" w:hAnsi="Times New Roman" w:cs="David"/>
      <w:noProof/>
      <w:sz w:val="24"/>
      <w:szCs w:val="24"/>
    </w:rPr>
  </w:style>
  <w:style w:type="paragraph" w:customStyle="1" w:styleId="D128F3650E61473296914EF9E15A250B5">
    <w:name w:val="D128F3650E61473296914EF9E15A250B5"/>
    <w:rsid w:val="00BD4F04"/>
    <w:pPr>
      <w:bidi/>
      <w:spacing w:after="0" w:line="240" w:lineRule="auto"/>
    </w:pPr>
    <w:rPr>
      <w:rFonts w:ascii="Times New Roman" w:eastAsia="Times New Roman" w:hAnsi="Times New Roman" w:cs="David"/>
      <w:noProof/>
      <w:sz w:val="24"/>
      <w:szCs w:val="24"/>
    </w:rPr>
  </w:style>
  <w:style w:type="paragraph" w:customStyle="1" w:styleId="D650C3ADC6E34C929EE3D2B6C6EAD8DA4">
    <w:name w:val="D650C3ADC6E34C929EE3D2B6C6EAD8DA4"/>
    <w:rsid w:val="00BD4F04"/>
    <w:pPr>
      <w:bidi/>
      <w:spacing w:after="0" w:line="240" w:lineRule="auto"/>
    </w:pPr>
    <w:rPr>
      <w:rFonts w:ascii="Times New Roman" w:eastAsia="Times New Roman" w:hAnsi="Times New Roman" w:cs="David"/>
      <w:noProof/>
      <w:sz w:val="24"/>
      <w:szCs w:val="24"/>
    </w:rPr>
  </w:style>
  <w:style w:type="paragraph" w:customStyle="1" w:styleId="0F98BC5BD65F4E3D9CB241A0552B31094">
    <w:name w:val="0F98BC5BD65F4E3D9CB241A0552B31094"/>
    <w:rsid w:val="00BD4F04"/>
    <w:pPr>
      <w:bidi/>
      <w:spacing w:after="0" w:line="240" w:lineRule="auto"/>
    </w:pPr>
    <w:rPr>
      <w:rFonts w:ascii="Times New Roman" w:eastAsia="Times New Roman" w:hAnsi="Times New Roman" w:cs="David"/>
      <w:noProof/>
      <w:sz w:val="24"/>
      <w:szCs w:val="24"/>
    </w:rPr>
  </w:style>
  <w:style w:type="paragraph" w:customStyle="1" w:styleId="188595C706B84060A65FC27D8AEC282C4">
    <w:name w:val="188595C706B84060A65FC27D8AEC282C4"/>
    <w:rsid w:val="00BD4F04"/>
    <w:pPr>
      <w:bidi/>
      <w:spacing w:after="0" w:line="240" w:lineRule="auto"/>
    </w:pPr>
    <w:rPr>
      <w:rFonts w:ascii="Times New Roman" w:eastAsia="Times New Roman" w:hAnsi="Times New Roman" w:cs="David"/>
      <w:noProof/>
      <w:sz w:val="24"/>
      <w:szCs w:val="24"/>
    </w:rPr>
  </w:style>
  <w:style w:type="paragraph" w:customStyle="1" w:styleId="4C0CD05467694806A8B4ED31ED85F2704">
    <w:name w:val="4C0CD05467694806A8B4ED31ED85F2704"/>
    <w:rsid w:val="00BD4F04"/>
    <w:pPr>
      <w:bidi/>
      <w:spacing w:after="0" w:line="240" w:lineRule="auto"/>
    </w:pPr>
    <w:rPr>
      <w:rFonts w:ascii="Times New Roman" w:eastAsia="Times New Roman" w:hAnsi="Times New Roman" w:cs="David"/>
      <w:noProof/>
      <w:sz w:val="24"/>
      <w:szCs w:val="24"/>
    </w:rPr>
  </w:style>
  <w:style w:type="paragraph" w:customStyle="1" w:styleId="F543BD6017094ECA8A197FD31D42F9F06">
    <w:name w:val="F543BD6017094ECA8A197FD31D42F9F06"/>
    <w:rsid w:val="00BD4F04"/>
    <w:pPr>
      <w:bidi/>
      <w:spacing w:after="0" w:line="240" w:lineRule="auto"/>
    </w:pPr>
    <w:rPr>
      <w:rFonts w:ascii="Times New Roman" w:eastAsia="Times New Roman" w:hAnsi="Times New Roman" w:cs="David"/>
      <w:noProof/>
      <w:sz w:val="24"/>
      <w:szCs w:val="24"/>
    </w:rPr>
  </w:style>
  <w:style w:type="paragraph" w:customStyle="1" w:styleId="43830518B23F43CE95EF1FDBFC3F7B6B6">
    <w:name w:val="43830518B23F43CE95EF1FDBFC3F7B6B6"/>
    <w:rsid w:val="00BD4F04"/>
    <w:pPr>
      <w:bidi/>
      <w:spacing w:after="0" w:line="240" w:lineRule="auto"/>
    </w:pPr>
    <w:rPr>
      <w:rFonts w:ascii="Times New Roman" w:eastAsia="Times New Roman" w:hAnsi="Times New Roman" w:cs="David"/>
      <w:noProof/>
      <w:sz w:val="24"/>
      <w:szCs w:val="24"/>
    </w:rPr>
  </w:style>
  <w:style w:type="paragraph" w:customStyle="1" w:styleId="D128F3650E61473296914EF9E15A250B6">
    <w:name w:val="D128F3650E61473296914EF9E15A250B6"/>
    <w:rsid w:val="00BD4F04"/>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79624115</CaseID>
    <CaseJudicialPersonPresentationDS>
      <CaseJudicalPersonActive>
        <CaseID>79624115</CaseID>
        <JudicialPersonID>058748633@GOV.IL</JudicialPersonID>
        <JudicialPersonTypeID>1</JudicialPersonTypeID>
        <JudicialTypeID>1</JudicialTypeID>
        <IsChairman>false</IsChairman>
        <TreatmentStartDate>2022-09-21T15:33:35.29+03:00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אברהם תירוש</FullName>
        <FirstName>אברהם</FirstName>
        <LastName>תירוש</LastName>
        <PartyPropertyName/>
        <AuthenticationTypeAndNumber>מ.ר. 8234</AuthenticationTypeAndNumber>
        <RepresentatedOrRepresentativesNames>משה ברקוביצ'י</RepresentatedOrRepresentativesNames>
        <RepresentatedOrRepresentativesCount>1</RepresentatedOrRepresentativesCount>
        <InvitedBy/>
        <CaseID>79624115</CaseID>
        <CaseJudicialPersonPresentationDS>
          <CaseJudicalPersonActive>
            <CaseID>79624115</CaseID>
            <JudicialPersonID>058748633@GOV.IL</JudicialPersonID>
            <JudicialPersonTypeID>1</JudicialPersonTypeID>
            <JudicialTypeID>1</JudicialTypeID>
            <IsChairman>false</IsChairman>
            <TreatmentStartDate>2022-09-21T15:33:35.29+03:00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248041528</CasePartyID>
        <PartyTypeID>2</PartyTypeID>
        <ActivityStatusID>1</ActivityStatusID>
        <PartyAliasID>21</PartyAliasID>
        <PartyAliasName>בא כוח נתבעים</PartyAliasName>
        <LegalEntityID>385195</LegalEntityID>
        <CaseLegalEntityID>121995968</CaseLegalEntityID>
        <AuthenticationTypeID>4</AuthenticationTypeID>
        <AuthenticationTypeName>מ.ר.</AuthenticationTypeName>
        <LegalEntityNumber>8234</LegalEntityNumber>
        <IsMainPartyType>true</IsMainPartyType>
        <CaseDisplayIdentifier>48903-09-22</CaseDisplayIdentifier>
        <CaseTypeID>15</CaseTypeID>
        <CaseTypeName>תיק משפחה (תמ"ש)</CaseTypeName>
        <CaseName>מאיר ואח' נ' ברקוביצי</CaseName>
        <FullAddress>שד' פלי"ם 2 חיפה חלונות הסיטי-בניין אורן</FullAddress>
        <EmailAddress>avi.tirosh@bezeqint.net</EmailAddress>
        <MotionID>0</MotionID>
        <CasePleaID>0</CasePleaID>
        <LinkedCaseID>0</LinkedCaseID>
        <PartyID>2</PartyID>
        <CasePartyCategoryID>2</CasePartyCategoryID>
        <LegalEntityAddressID>88633684</LegalEntityAddressID>
        <LegalEntityEmailAddressID>67841206</LegalEntityEmailAddressID>
        <PleaTypeID>4</PleaTypeID>
        <LawyerOfficeName>משרד עו"ד: אברהם תירוש</LawyerOfficeName>
        <LawyerOfficeID>425839</LawyerOfficeID>
        <GroupPartyAlias/>
        <IsConverted>false</IsConverted>
        <LegalEntityNameID>6179</LegalEntityNameID>
        <RepresentatedNamesOfAssistant/>
        <LegalEntityTypeID>4</LegalEntityTypeID>
        <IsVerdictExists>false</IsVerdictExists>
        <IsAsirAzir>false</IsAsirAzir>
        <MainAndSecSpec/>
        <IsPublicationProhibited>false</IsPublicationProhibited>
        <PublicationProhibitedFullName>אברהם תירוש</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לילי מאיר</FullName>
        <FirstName>לילי</FirstName>
        <LastName>מאיר</LastName>
        <PartyPropertyName/>
        <AuthenticationTypeAndNumber>ת"ז 022697973</AuthenticationTypeAndNumber>
        <RepresentatedOrRepresentativesNames>ענבל צבר</RepresentatedOrRepresentativesNames>
        <RepresentatedOrRepresentativesCount>1</RepresentatedOrRepresentativesCount>
        <InvitedBy/>
        <CaseID>79624115</CaseID>
        <CaseJudicialPersonPresentationDS>
          <CaseJudicalPersonActive>
            <CaseID>79624115</CaseID>
            <JudicialPersonID>058748633@GOV.IL</JudicialPersonID>
            <JudicialPersonTypeID>1</JudicialPersonTypeID>
            <JudicialTypeID>1</JudicialTypeID>
            <IsChairman>false</IsChairman>
            <TreatmentStartDate>2022-09-21T15:33:35.29+03:00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246075768</CasePartyID>
        <PartyTypeID>1</PartyTypeID>
        <ActivityStatusID>1</ActivityStatusID>
        <PartyAliasID>1</PartyAliasID>
        <PartyAliasName>תובע</PartyAliasName>
        <OrdinalNumber>1</OrdinalNumber>
        <LegalEntityID>80170103</LegalEntityID>
        <CaseLegalEntityID>121381383</CaseLegalEntityID>
        <AuthenticationTypeID>1</AuthenticationTypeID>
        <AuthenticationTypeName>ת"ז</AuthenticationTypeName>
        <LegalEntityNumber>022697973</LegalEntityNumber>
        <IsMainPartyType>true</IsMainPartyType>
        <CaseDisplayIdentifier>48903-09-22</CaseDisplayIdentifier>
        <CaseTypeID>15</CaseTypeID>
        <CaseTypeName>תיק משפחה (תמ"ש)</CaseTypeName>
        <CaseName>מאיר ואח' נ' ברקוביצי</CaseName>
        <FullAddress>הדרור 32 שלומי </FullAddress>
        <MotionID>0</MotionID>
        <CasePleaID>0</CasePleaID>
        <FatherName>שאול</FatherName>
        <LinkedCaseID>0</LinkedCaseID>
        <PartyID>1</PartyID>
        <CasePartyCategoryID>2</CasePartyCategoryID>
        <LegalEntityAddressID>87005270</LegalEntityAddressID>
        <PleaTypeID>4</PleaTypeID>
        <GroupPartyAlias>תובעים</GroupPartyAlias>
        <IsConverted>false</IsConverted>
        <LegalEntityRegisteredNameID>10069707</LegalEntityRegisteredNameID>
        <LegalEntityNameID>93725758</LegalEntityNameID>
        <RepresentatedNamesOfAssistant/>
        <LegalEntityTypeID>1</LegalEntityTypeID>
        <IsVerdictExists>false</IsVerdictExists>
        <IsAsirAzir>false</IsAsirAzir>
        <MainAndSecSpec/>
        <IsPublicationProhibited>false</IsPublicationProhibited>
        <PublicationProhibitedFullName>לילי מאיר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ענבל צבר</FullName>
        <FirstName>ענבל</FirstName>
        <LastName>צבר</LastName>
        <PartyPropertyName/>
        <AuthenticationTypeAndNumber>מ.ר. 52958</AuthenticationTypeAndNumber>
        <RepresentatedOrRepresentativesNames>ציפי גולדנברג, לילי מאיר</RepresentatedOrRepresentativesNames>
        <RepresentatedOrRepresentativesCount>2</RepresentatedOrRepresentativesCount>
        <InvitedBy/>
        <CaseID>79624115</CaseID>
        <CaseJudicialPersonPresentationDS>
          <CaseJudicalPersonActive>
            <CaseID>79624115</CaseID>
            <JudicialPersonID>058748633@GOV.IL</JudicialPersonID>
            <JudicialPersonTypeID>1</JudicialPersonTypeID>
            <JudicialTypeID>1</JudicialTypeID>
            <IsChairman>false</IsChairman>
            <TreatmentStartDate>2022-09-21T15:33:35.29+03:00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246075769</CasePartyID>
        <PartyTypeID>2</PartyTypeID>
        <ActivityStatusID>1</ActivityStatusID>
        <PartyAliasID>20</PartyAliasID>
        <PartyAliasName>בא כוח תובעים</PartyAliasName>
        <OrdinalNumber>1</OrdinalNumber>
        <LegalEntityID>33128259</LegalEntityID>
        <CaseLegalEntityID>121381384</CaseLegalEntityID>
        <AuthenticationTypeID>4</AuthenticationTypeID>
        <AuthenticationTypeName>מ.ר.</AuthenticationTypeName>
        <LegalEntityNumber>52958</LegalEntityNumber>
        <IsMainPartyType>true</IsMainPartyType>
        <CaseDisplayIdentifier>48903-09-22</CaseDisplayIdentifier>
        <CaseTypeID>15</CaseTypeID>
        <CaseTypeName>תיק משפחה (תמ"ש)</CaseTypeName>
        <CaseName>מאיר ואח' נ' ברקוביצי</CaseName>
        <FullAddress>יוסף לוי 23 קריית ביאליק </FullAddress>
        <EmailAddress>zabarinbal@gmail.com</EmailAddress>
        <MotionID>0</MotionID>
        <CasePleaID>0</CasePleaID>
        <LinkedCaseID>0</LinkedCaseID>
        <PartyID>1</PartyID>
        <CasePartyCategoryID>2</CasePartyCategoryID>
        <LegalEntityAddressID>81860278</LegalEntityAddressID>
        <LegalEntityEmailAddressID>67998601</LegalEntityEmailAddressID>
        <PleaTypeID>4</PleaTypeID>
        <LawyerOfficeName>משרד עו"ד ענבל צבר</LawyerOfficeName>
        <LawyerOfficeID>33128260</LawyerOfficeID>
        <GroupPartyAlias/>
        <IsConverted>false</IsConverted>
        <LegalEntityNameID>34918630</LegalEntityNameID>
        <RepresentatedNamesOfAssistant/>
        <LegalEntityTypeID>4</LegalEntityTypeID>
        <IsVerdictExists>false</IsVerdictExists>
        <IsAsirAzir>false</IsAsirAzir>
        <MainAndSecSpec/>
        <IsPublicationProhibited>false</IsPublicationProhibited>
        <PublicationProhibitedFullName>ענבל צבר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משה ברקוביצ'י</FullName>
        <FirstName>משה</FirstName>
        <LastName>ברקוביצי</LastName>
        <PartyPropertyName/>
        <AuthenticationTypeAndNumber>ת"ז 028871978</AuthenticationTypeAndNumber>
        <RepresentatedOrRepresentativesNames>אברהם תירוש</RepresentatedOrRepresentativesNames>
        <RepresentatedOrRepresentativesCount>1</RepresentatedOrRepresentativesCount>
        <InvitedBy/>
        <CaseID>79624115</CaseID>
        <CaseJudicialPersonPresentationDS>
          <CaseJudicalPersonActive>
            <CaseID>79624115</CaseID>
            <JudicialPersonID>058748633@GOV.IL</JudicialPersonID>
            <JudicialPersonTypeID>1</JudicialPersonTypeID>
            <JudicialTypeID>1</JudicialTypeID>
            <IsChairman>false</IsChairman>
            <TreatmentStartDate>2022-09-21T15:33:35.29+03:00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246075770</CasePartyID>
        <PartyTypeID>1</PartyTypeID>
        <ActivityStatusID>1</ActivityStatusID>
        <PartyAliasID>2</PartyAliasID>
        <PartyAliasName>נתבע</PartyAliasName>
        <OrdinalNumber>1</OrdinalNumber>
        <LegalEntityID>79649589</LegalEntityID>
        <CaseLegalEntityID>121381385</CaseLegalEntityID>
        <AuthenticationTypeID>1</AuthenticationTypeID>
        <AuthenticationTypeName>ת"ז</AuthenticationTypeName>
        <LegalEntityNumber>028871978</LegalEntityNumber>
        <IsMainPartyType>true</IsMainPartyType>
        <CaseDisplayIdentifier>48903-09-22</CaseDisplayIdentifier>
        <CaseTypeID>15</CaseTypeID>
        <CaseTypeName>תיק משפחה (תמ"ש)</CaseTypeName>
        <CaseName>מאיר ואח' נ' ברקוביצי</CaseName>
        <FullAddress>יגאל אלון 11/69 קריית מוצקין </FullAddress>
        <MotionID>0</MotionID>
        <CasePleaID>0</CasePleaID>
        <FatherName>שאול</FatherName>
        <LinkedCaseID>0</LinkedCaseID>
        <PartyID>2</PartyID>
        <CasePartyCategoryID>2</CasePartyCategoryID>
        <LegalEntityAddressID>87005271</LegalEntityAddressID>
        <PleaTypeID>4</PleaTypeID>
        <GroupPartyAlias>נתבעים</GroupPartyAlias>
        <IsConverted>false</IsConverted>
        <LegalEntityRegisteredNameID>9459504</LegalEntityRegisteredNameID>
        <LegalEntityNameID>93725759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משה ברקוביצ'י</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ציפי גולדנברג</FullName>
        <FirstName>ציפי</FirstName>
        <LastName>גולדנברג</LastName>
        <PartyPropertyName/>
        <AuthenticationTypeAndNumber>ת"ז 024076747</AuthenticationTypeAndNumber>
        <RepresentatedOrRepresentativesNames>ענבל צבר</RepresentatedOrRepresentativesNames>
        <RepresentatedOrRepresentativesCount>1</RepresentatedOrRepresentativesCount>
        <InvitedBy/>
        <CaseID>79624115</CaseID>
        <CaseJudicialPersonPresentationDS>
          <CaseJudicalPersonActive>
            <CaseID>79624115</CaseID>
            <JudicialPersonID>058748633@GOV.IL</JudicialPersonID>
            <JudicialPersonTypeID>1</JudicialPersonTypeID>
            <JudicialTypeID>1</JudicialTypeID>
            <IsChairman>false</IsChairman>
            <TreatmentStartDate>2022-09-21T15:33:35.29+03:00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246075767</CasePartyID>
        <PartyTypeID>1</PartyTypeID>
        <ActivityStatusID>1</ActivityStatusID>
        <PartyAliasID>1</PartyAliasID>
        <PartyAliasName>תובע</PartyAliasName>
        <OrdinalNumber>2</OrdinalNumber>
        <LegalEntityID>80170104</LegalEntityID>
        <CaseLegalEntityID>121381382</CaseLegalEntityID>
        <AuthenticationTypeID>1</AuthenticationTypeID>
        <AuthenticationTypeName>ת"ז</AuthenticationTypeName>
        <LegalEntityNumber>024076747</LegalEntityNumber>
        <IsMainPartyType>true</IsMainPartyType>
        <CaseDisplayIdentifier>48903-09-22</CaseDisplayIdentifier>
        <CaseTypeID>15</CaseTypeID>
        <CaseTypeName>תיק משפחה (תמ"ש)</CaseTypeName>
        <CaseName>מאיר ואח' נ' ברקוביצי</CaseName>
        <FullAddress>שביל סביון 1 קריית מוצקין </FullAddress>
        <MotionID>0</MotionID>
        <CasePleaID>0</CasePleaID>
        <FatherName>שאול</FatherName>
        <LinkedCaseID>0</LinkedCaseID>
        <PartyID>1</PartyID>
        <CasePartyCategoryID>2</CasePartyCategoryID>
        <LegalEntityAddressID>87005269</LegalEntityAddressID>
        <PleaTypeID>4</PleaTypeID>
        <GroupPartyAlias>תובעים</GroupPartyAlias>
        <IsConverted>false</IsConverted>
        <LegalEntityRegisteredNameID>9737261</LegalEntityRegisteredNameID>
        <LegalEntityNameID>93725757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ציפי גולדנברג</PublicationProhibitedFullName>
      </CaseParties>
    </CasePartiesSelectionDS>
    <DecisionName>פסק דין  שניתנה ע"י  שירי היימן</DecisionName>
    <CourtDisplayName>בית משפט לענייני משפחה בקריות</CourtDisplayName>
    <IsCaseJudgePanel>false</IsCaseJudgePanel>
    <DecisionSignatureDate>2024-08-12T11:07:25.8944689+03:00</DecisionSignatureDate>
    <OpenCaseDate>2022-09-21T14:34:00+03:00</OpenCaseDate>
    <CaseFeeSum>0.000</CaseFeeSum>
    <DecisionTypeID>2</DecisionTypeID>
    <DecisionSignatureUserName>שירי היימן</DecisionSignatureUserName>
    <DecisionSignatureDateHebrew>2024-08-12T11:07:25.8944689+03:00</DecisionSignatureDateHebrew>
    <DecisionWriterID>058748633@GOV.IL</DecisionWriterID>
    <CourtAddress>רח' דרך עכו 194, קריית ביאליק 27232</CourtAddress>
    <IsAutoTextInCaseExist>true</IsAutoTextInCaseExist>
    <DecisionSignatureRoleName>שופט</DecisionSignatureRoleName>
    <DecisionSignatureUserTitleName>שופטת, סגנית הנשיאה</DecisionSignatureUserTitleName>
    <CaseName>מאיר ואח' נ' ברקוביצי</CaseName>
    <DecisionNumberInCase>17</DecisionNumberInCase>
  </dt_Decision>
  <dt_DecisionCase>
    <DecisionID>0</DecisionID>
    <CaseID>79624115</CaseID>
    <CaseJudicialPersonPresentationDS>
      <CaseJudicalPersonActive>
        <CaseID>79624115</CaseID>
        <JudicialPersonID>058748633@GOV.IL</JudicialPersonID>
        <JudicialPersonTypeID>1</JudicialPersonTypeID>
        <JudicialTypeID>1</JudicialTypeID>
        <IsChairman>false</IsChairman>
        <TreatmentStartDate>2022-09-21T15:33:35.29+03:00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אברהם תירוש</FullName>
        <FirstName>אברהם</FirstName>
        <LastName>תירוש</LastName>
        <PartyPropertyName/>
        <AuthenticationTypeAndNumber>מ.ר. 8234</AuthenticationTypeAndNumber>
        <RepresentatedOrRepresentativesNames>משה ברקוביצ'י</RepresentatedOrRepresentativesNames>
        <RepresentatedOrRepresentativesCount>1</RepresentatedOrRepresentativesCount>
        <InvitedBy/>
        <CaseID>79624115</CaseID>
        <CaseJudicialPersonPresentationDS>
          <CaseJudicalPersonActive>
            <CaseID>79624115</CaseID>
            <JudicialPersonID>058748633@GOV.IL</JudicialPersonID>
            <JudicialPersonTypeID>1</JudicialPersonTypeID>
            <JudicialTypeID>1</JudicialTypeID>
            <IsChairman>false</IsChairman>
            <TreatmentStartDate>2022-09-21T15:33:35.29+03:00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248041528</CasePartyID>
        <PartyTypeID>2</PartyTypeID>
        <ActivityStatusID>1</ActivityStatusID>
        <PartyAliasID>21</PartyAliasID>
        <PartyAliasName>בא כוח נתבעים</PartyAliasName>
        <LegalEntityID>385195</LegalEntityID>
        <CaseLegalEntityID>121995968</CaseLegalEntityID>
        <AuthenticationTypeID>4</AuthenticationTypeID>
        <AuthenticationTypeName>מ.ר.</AuthenticationTypeName>
        <LegalEntityNumber>8234</LegalEntityNumber>
        <IsMainPartyType>true</IsMainPartyType>
        <CaseDisplayIdentifier>48903-09-22</CaseDisplayIdentifier>
        <CaseTypeID>15</CaseTypeID>
        <CaseTypeName>תיק משפחה (תמ"ש)</CaseTypeName>
        <CaseName>מאיר ואח' נ' ברקוביצי</CaseName>
        <FullAddress>שד' פלי"ם 2 חיפה חלונות הסיטי-בניין אורן</FullAddress>
        <EmailAddress>avi.tirosh@bezeqint.net</EmailAddress>
        <MotionID>0</MotionID>
        <CasePleaID>0</CasePleaID>
        <LinkedCaseID>0</LinkedCaseID>
        <PartyID>2</PartyID>
        <CasePartyCategoryID>2</CasePartyCategoryID>
        <LegalEntityAddressID>88633684</LegalEntityAddressID>
        <LegalEntityEmailAddressID>67841206</LegalEntityEmailAddressID>
        <PleaTypeID>4</PleaTypeID>
        <LawyerOfficeName>משרד עו"ד: אברהם תירוש</LawyerOfficeName>
        <LawyerOfficeID>425839</LawyerOfficeID>
        <GroupPartyAlias/>
        <IsConverted>false</IsConverted>
        <LegalEntityNameID>6179</LegalEntityNameID>
        <RepresentatedNamesOfAssistant/>
        <LegalEntityTypeID>4</LegalEntityTypeID>
        <IsVerdictExists>false</IsVerdictExists>
        <IsAsirAzir>false</IsAsirAzir>
        <MainAndSecSpec/>
        <IsPublicationProhibited>false</IsPublicationProhibited>
        <PublicationProhibitedFullName>אברהם תירוש</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לילי מאיר</FullName>
        <FirstName>לילי</FirstName>
        <LastName>מאיר</LastName>
        <PartyPropertyName/>
        <AuthenticationTypeAndNumber>ת"ז 022697973</AuthenticationTypeAndNumber>
        <RepresentatedOrRepresentativesNames>ענבל צבר</RepresentatedOrRepresentativesNames>
        <RepresentatedOrRepresentativesCount>1</RepresentatedOrRepresentativesCount>
        <InvitedBy/>
        <CaseID>79624115</CaseID>
        <CaseJudicialPersonPresentationDS>
          <CaseJudicalPersonActive>
            <CaseID>79624115</CaseID>
            <JudicialPersonID>058748633@GOV.IL</JudicialPersonID>
            <JudicialPersonTypeID>1</JudicialPersonTypeID>
            <JudicialTypeID>1</JudicialTypeID>
            <IsChairman>false</IsChairman>
            <TreatmentStartDate>2022-09-21T15:33:35.29+03:00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246075768</CasePartyID>
        <PartyTypeID>1</PartyTypeID>
        <ActivityStatusID>1</ActivityStatusID>
        <PartyAliasID>1</PartyAliasID>
        <PartyAliasName>תובע</PartyAliasName>
        <OrdinalNumber>1</OrdinalNumber>
        <LegalEntityID>80170103</LegalEntityID>
        <CaseLegalEntityID>121381383</CaseLegalEntityID>
        <AuthenticationTypeID>1</AuthenticationTypeID>
        <AuthenticationTypeName>ת"ז</AuthenticationTypeName>
        <LegalEntityNumber>022697973</LegalEntityNumber>
        <IsMainPartyType>true</IsMainPartyType>
        <CaseDisplayIdentifier>48903-09-22</CaseDisplayIdentifier>
        <CaseTypeID>15</CaseTypeID>
        <CaseTypeName>תיק משפחה (תמ"ש)</CaseTypeName>
        <CaseName>מאיר ואח' נ' ברקוביצי</CaseName>
        <FullAddress>הדרור 32 שלומי </FullAddress>
        <MotionID>0</MotionID>
        <CasePleaID>0</CasePleaID>
        <FatherName>שאול</FatherName>
        <LinkedCaseID>0</LinkedCaseID>
        <PartyID>1</PartyID>
        <CasePartyCategoryID>2</CasePartyCategoryID>
        <LegalEntityAddressID>87005270</LegalEntityAddressID>
        <PleaTypeID>4</PleaTypeID>
        <GroupPartyAlias>תובעים</GroupPartyAlias>
        <IsConverted>false</IsConverted>
        <LegalEntityRegisteredNameID>10069707</LegalEntityRegisteredNameID>
        <LegalEntityNameID>93725758</LegalEntityNameID>
        <RepresentatedNamesOfAssistant/>
        <LegalEntityTypeID>1</LegalEntityTypeID>
        <IsVerdictExists>false</IsVerdictExists>
        <IsAsirAzir>false</IsAsirAzir>
        <MainAndSecSpec/>
        <IsPublicationProhibited>false</IsPublicationProhibited>
        <PublicationProhibitedFullName>לילי מאיר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ענבל צבר</FullName>
        <FirstName>ענבל</FirstName>
        <LastName>צבר</LastName>
        <PartyPropertyName/>
        <AuthenticationTypeAndNumber>מ.ר. 52958</AuthenticationTypeAndNumber>
        <RepresentatedOrRepresentativesNames>ציפי גולדנברג, לילי מאיר</RepresentatedOrRepresentativesNames>
        <RepresentatedOrRepresentativesCount>2</RepresentatedOrRepresentativesCount>
        <InvitedBy/>
        <CaseID>79624115</CaseID>
        <CaseJudicialPersonPresentationDS>
          <CaseJudicalPersonActive>
            <CaseID>79624115</CaseID>
            <JudicialPersonID>058748633@GOV.IL</JudicialPersonID>
            <JudicialPersonTypeID>1</JudicialPersonTypeID>
            <JudicialTypeID>1</JudicialTypeID>
            <IsChairman>false</IsChairman>
            <TreatmentStartDate>2022-09-21T15:33:35.29+03:00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246075769</CasePartyID>
        <PartyTypeID>2</PartyTypeID>
        <ActivityStatusID>1</ActivityStatusID>
        <PartyAliasID>20</PartyAliasID>
        <PartyAliasName>בא כוח תובעים</PartyAliasName>
        <OrdinalNumber>1</OrdinalNumber>
        <LegalEntityID>33128259</LegalEntityID>
        <CaseLegalEntityID>121381384</CaseLegalEntityID>
        <AuthenticationTypeID>4</AuthenticationTypeID>
        <AuthenticationTypeName>מ.ר.</AuthenticationTypeName>
        <LegalEntityNumber>52958</LegalEntityNumber>
        <IsMainPartyType>true</IsMainPartyType>
        <CaseDisplayIdentifier>48903-09-22</CaseDisplayIdentifier>
        <CaseTypeID>15</CaseTypeID>
        <CaseTypeName>תיק משפחה (תמ"ש)</CaseTypeName>
        <CaseName>מאיר ואח' נ' ברקוביצי</CaseName>
        <FullAddress>יוסף לוי 23 קריית ביאליק </FullAddress>
        <EmailAddress>zabarinbal@gmail.com</EmailAddress>
        <MotionID>0</MotionID>
        <CasePleaID>0</CasePleaID>
        <LinkedCaseID>0</LinkedCaseID>
        <PartyID>1</PartyID>
        <CasePartyCategoryID>2</CasePartyCategoryID>
        <LegalEntityAddressID>81860278</LegalEntityAddressID>
        <LegalEntityEmailAddressID>67998601</LegalEntityEmailAddressID>
        <PleaTypeID>4</PleaTypeID>
        <LawyerOfficeName>משרד עו"ד ענבל צבר</LawyerOfficeName>
        <LawyerOfficeID>33128260</LawyerOfficeID>
        <GroupPartyAlias/>
        <IsConverted>false</IsConverted>
        <LegalEntityNameID>34918630</LegalEntityNameID>
        <RepresentatedNamesOfAssistant/>
        <LegalEntityTypeID>4</LegalEntityTypeID>
        <IsVerdictExists>false</IsVerdictExists>
        <IsAsirAzir>false</IsAsirAzir>
        <MainAndSecSpec/>
        <IsPublicationProhibited>false</IsPublicationProhibited>
        <PublicationProhibitedFullName>ענבל צבר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משה ברקוביצ'י</FullName>
        <FirstName>משה</FirstName>
        <LastName>ברקוביצי</LastName>
        <PartyPropertyName/>
        <AuthenticationTypeAndNumber>ת"ז 028871978</AuthenticationTypeAndNumber>
        <RepresentatedOrRepresentativesNames>אברהם תירוש</RepresentatedOrRepresentativesNames>
        <RepresentatedOrRepresentativesCount>1</RepresentatedOrRepresentativesCount>
        <InvitedBy/>
        <CaseID>79624115</CaseID>
        <CaseJudicialPersonPresentationDS>
          <CaseJudicalPersonActive>
            <CaseID>79624115</CaseID>
            <JudicialPersonID>058748633@GOV.IL</JudicialPersonID>
            <JudicialPersonTypeID>1</JudicialPersonTypeID>
            <JudicialTypeID>1</JudicialTypeID>
            <IsChairman>false</IsChairman>
            <TreatmentStartDate>2022-09-21T15:33:35.29+03:00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246075770</CasePartyID>
        <PartyTypeID>1</PartyTypeID>
        <ActivityStatusID>1</ActivityStatusID>
        <PartyAliasID>2</PartyAliasID>
        <PartyAliasName>נתבע</PartyAliasName>
        <OrdinalNumber>1</OrdinalNumber>
        <LegalEntityID>79649589</LegalEntityID>
        <CaseLegalEntityID>121381385</CaseLegalEntityID>
        <AuthenticationTypeID>1</AuthenticationTypeID>
        <AuthenticationTypeName>ת"ז</AuthenticationTypeName>
        <LegalEntityNumber>028871978</LegalEntityNumber>
        <IsMainPartyType>true</IsMainPartyType>
        <CaseDisplayIdentifier>48903-09-22</CaseDisplayIdentifier>
        <CaseTypeID>15</CaseTypeID>
        <CaseTypeName>תיק משפחה (תמ"ש)</CaseTypeName>
        <CaseName>מאיר ואח' נ' ברקוביצי</CaseName>
        <FullAddress>יגאל אלון 11/69 קריית מוצקין </FullAddress>
        <MotionID>0</MotionID>
        <CasePleaID>0</CasePleaID>
        <FatherName>שאול</FatherName>
        <LinkedCaseID>0</LinkedCaseID>
        <PartyID>2</PartyID>
        <CasePartyCategoryID>2</CasePartyCategoryID>
        <LegalEntityAddressID>87005271</LegalEntityAddressID>
        <PleaTypeID>4</PleaTypeID>
        <GroupPartyAlias>נתבעים</GroupPartyAlias>
        <IsConverted>false</IsConverted>
        <LegalEntityRegisteredNameID>9459504</LegalEntityRegisteredNameID>
        <LegalEntityNameID>93725759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משה ברקוביצ'י</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ציפי גולדנברג</FullName>
        <FirstName>ציפי</FirstName>
        <LastName>גולדנברג</LastName>
        <PartyPropertyName/>
        <AuthenticationTypeAndNumber>ת"ז 024076747</AuthenticationTypeAndNumber>
        <RepresentatedOrRepresentativesNames>ענבל צבר</RepresentatedOrRepresentativesNames>
        <RepresentatedOrRepresentativesCount>1</RepresentatedOrRepresentativesCount>
        <InvitedBy/>
        <CaseID>79624115</CaseID>
        <CaseJudicialPersonPresentationDS>
          <CaseJudicalPersonActive>
            <CaseID>79624115</CaseID>
            <JudicialPersonID>058748633@GOV.IL</JudicialPersonID>
            <JudicialPersonTypeID>1</JudicialPersonTypeID>
            <JudicialTypeID>1</JudicialTypeID>
            <IsChairman>false</IsChairman>
            <TreatmentStartDate>2022-09-21T15:33:35.29+03:00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246075767</CasePartyID>
        <PartyTypeID>1</PartyTypeID>
        <ActivityStatusID>1</ActivityStatusID>
        <PartyAliasID>1</PartyAliasID>
        <PartyAliasName>תובע</PartyAliasName>
        <OrdinalNumber>2</OrdinalNumber>
        <LegalEntityID>80170104</LegalEntityID>
        <CaseLegalEntityID>121381382</CaseLegalEntityID>
        <AuthenticationTypeID>1</AuthenticationTypeID>
        <AuthenticationTypeName>ת"ז</AuthenticationTypeName>
        <LegalEntityNumber>024076747</LegalEntityNumber>
        <IsMainPartyType>true</IsMainPartyType>
        <CaseDisplayIdentifier>48903-09-22</CaseDisplayIdentifier>
        <CaseTypeID>15</CaseTypeID>
        <CaseTypeName>תיק משפחה (תמ"ש)</CaseTypeName>
        <CaseName>מאיר ואח' נ' ברקוביצי</CaseName>
        <FullAddress>שביל סביון 1 קריית מוצקין </FullAddress>
        <MotionID>0</MotionID>
        <CasePleaID>0</CasePleaID>
        <FatherName>שאול</FatherName>
        <LinkedCaseID>0</LinkedCaseID>
        <PartyID>1</PartyID>
        <CasePartyCategoryID>2</CasePartyCategoryID>
        <LegalEntityAddressID>87005269</LegalEntityAddressID>
        <PleaTypeID>4</PleaTypeID>
        <GroupPartyAlias>תובעים</GroupPartyAlias>
        <IsConverted>false</IsConverted>
        <LegalEntityRegisteredNameID>9737261</LegalEntityRegisteredNameID>
        <LegalEntityNameID>93725757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ציפי גולדנברג</PublicationProhibitedFullName>
      </CaseParties>
    </CasePartiesSelectionDS>
    <CaseName>מאיר ואח' נ' ברקוביצי</CaseName>
    <CaseDisplayIdentifier>48903-09-22</CaseDisplayIdentifier>
    <CaseInterestID>10116</CaseInterestID>
    <CaseTypeShortName>תמ"ש</CaseTypeShortName>
  </dt_DecisionCase>
  <dt_DecisionJudgePanel>
    <JudgeID>058748633@GOV.IL</JudgeID>
    <DisplayName>שירי היימן</DisplayName>
    <RoleName>שופט</RoleName>
    <UserTitleName>שופטת, סגנית הנשיאה</UserTitleName>
  </dt_DecisionJudgePanel>
  <dt_LegalEntityDetails>
    <Fax>077-2080544</Fax>
    <Phone>04-8644444</Phone>
    <AddressDesc>חלונות הסיטי-בניין אורן</AddressDesc>
    <PartyID>2</PartyID>
    <PartyTypeID>2</PartyTypeID>
    <DecisionID>0</DecisionID>
    <StreetName>שד' פלי"ם 2</StreetName>
    <ZipCode>3309502</ZipCode>
    <CityName>חיפה</CityName>
    <FullName>אברהם תירוש</FullName>
    <Email>avi.tirosh@bezeqint.net</Email>
    <IsPublicationProhibited>false</IsPublicationProhibited>
  </dt_LegalEntityDetails>
  <dt_LegalEntityDetails>
    <PartyID>1</PartyID>
    <PartyTypeID>1</PartyTypeID>
    <DecisionID>0</DecisionID>
    <StreetName>הדרור 32</StreetName>
    <CityName>שלומי</CityName>
    <FullName>לילי מאיר</FullName>
    <IsPublicationProhibited>false</IsPublicationProhibited>
  </dt_LegalEntityDetails>
  <dt_LegalEntityDetails>
    <Fax>04-8667787</Fax>
    <Phone>04-8667788</Phone>
    <PartyID>1</PartyID>
    <PartyTypeID>2</PartyTypeID>
    <DecisionID>0</DecisionID>
    <StreetName>יוסף לוי 23</StreetName>
    <ZipCode>2751123</ZipCode>
    <CityName>קריית ביאליק</CityName>
    <FullName>ענבל צבר</FullName>
    <Email>zabarinbal@gmail.com</Email>
    <IsPublicationProhibited>false</IsPublicationProhibited>
  </dt_LegalEntityDetails>
  <dt_LegalEntityDetails>
    <PartyID>2</PartyID>
    <PartyTypeID>1</PartyTypeID>
    <DecisionID>0</DecisionID>
    <StreetName>יגאל אלון 11/69</StreetName>
    <CityName>קריית מוצקין</CityName>
    <FullName>משה ברקוביצ'י</FullName>
    <IsPublicationProhibited>false</IsPublicationProhibited>
  </dt_LegalEntityDetails>
  <dt_LegalEntityDetails>
    <PartyID>1</PartyID>
    <PartyTypeID>1</PartyTypeID>
    <DecisionID>0</DecisionID>
    <StreetName>שביל סביון 1</StreetName>
    <CityName>קריית מוצקין</CityName>
    <FullName>ציפי גולדנברג</FullName>
    <IsPublicationProhibited>false</IsPublicationProhibited>
  </dt_LegalEntityDetails>
  <dt_CaseJudicalPersonActive>
    <CaseJudicalPerson>שופטת, סגנית הנשיאה שירי היימן</CaseJudicalPerson>
  </dt_CaseJudicalPersonActive>
  <dt_Sitting>
    <PreviousMeetingDate>2023-12-17T11:00:00+02:00</PreviousMeetingDate>
    <PreviousSittingTypeID>1</PreviousSittingTypeID>
    <PreviousMeetingDisplayName>שופטת, סגנית הנשיאה שירי היימן</PreviousMeetingDisplayName>
    <PreviousMeetingRoleName>שופט</PreviousMeetingRoleName>
    <PreviousMeetingUserTitleName>שופטת, סגנית הנשיאה</PreviousMeetingUserTitleName>
    <PreviousMeetingUserUPN>058748633@GOV.IL</PreviousMeetingUserUPN>
  </dt_Sitting>
</DecisionTemplateDS>
</file>

<file path=customXml/itemProps1.xml><?xml version="1.0" encoding="utf-8"?>
<ds:datastoreItem xmlns:ds="http://schemas.openxmlformats.org/officeDocument/2006/customXml" ds:itemID="{D09CD6FB-0A7A-4632-9A5C-B0D37F5EAD3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3331</Words>
  <Characters>16657</Characters>
  <Application>Microsoft Office Word</Application>
  <DocSecurity>0</DocSecurity>
  <Lines>138</Lines>
  <Paragraphs>39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19949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2024-08-15T06:24:00Z</dcterms:created>
  <dcterms:modified xsi:type="dcterms:W3CDTF">2024-08-15T06:24:00Z</dcterms:modified>
</cp:coreProperties>
</file>